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7FC7" w14:textId="77777777" w:rsidR="00ED16E8" w:rsidRPr="00C14E4B" w:rsidRDefault="00ED16E8" w:rsidP="00ED16E8">
      <w:pPr>
        <w:pStyle w:val="Title"/>
        <w:rPr>
          <w:rFonts w:ascii="Calibri" w:hAnsi="Calibri"/>
        </w:rPr>
      </w:pPr>
      <w:r>
        <w:rPr>
          <w:rFonts w:ascii="Calibri" w:hAnsi="Calibri"/>
          <w:noProof/>
          <w:snapToGrid/>
          <w:lang w:val="en-AU" w:eastAsia="zh-CN"/>
        </w:rPr>
        <w:drawing>
          <wp:anchor distT="0" distB="0" distL="114300" distR="114300" simplePos="0" relativeHeight="251659264" behindDoc="0" locked="0" layoutInCell="1" allowOverlap="1" wp14:anchorId="6FF5EB7D" wp14:editId="4857FAFE">
            <wp:simplePos x="0" y="0"/>
            <wp:positionH relativeFrom="column">
              <wp:posOffset>1902933</wp:posOffset>
            </wp:positionH>
            <wp:positionV relativeFrom="paragraph">
              <wp:posOffset>-71120</wp:posOffset>
            </wp:positionV>
            <wp:extent cx="1989136" cy="5619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1180" cy="565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09A29" w14:textId="77777777" w:rsidR="00ED16E8" w:rsidRPr="00C14E4B" w:rsidRDefault="00ED16E8" w:rsidP="00ED16E8">
      <w:pPr>
        <w:pStyle w:val="Title"/>
        <w:rPr>
          <w:rFonts w:ascii="Calibri" w:hAnsi="Calibri"/>
        </w:rPr>
      </w:pPr>
    </w:p>
    <w:p w14:paraId="5F66D875" w14:textId="77777777" w:rsidR="00ED16E8" w:rsidRPr="00C14E4B" w:rsidRDefault="00ED16E8" w:rsidP="00ED16E8">
      <w:pPr>
        <w:pStyle w:val="Title"/>
        <w:rPr>
          <w:rFonts w:ascii="Calibri" w:hAnsi="Calibri"/>
        </w:rPr>
      </w:pPr>
    </w:p>
    <w:p w14:paraId="078AD7E0" w14:textId="77777777" w:rsidR="00ED16E8" w:rsidRPr="008552C1" w:rsidRDefault="00ED16E8" w:rsidP="00ED16E8">
      <w:pPr>
        <w:pStyle w:val="Title"/>
        <w:spacing w:after="60"/>
        <w:rPr>
          <w:rFonts w:asciiTheme="majorHAnsi" w:hAnsiTheme="majorHAnsi"/>
          <w:sz w:val="36"/>
          <w:szCs w:val="36"/>
          <w:u w:val="none"/>
        </w:rPr>
      </w:pPr>
      <w:r>
        <w:rPr>
          <w:rFonts w:asciiTheme="majorHAnsi" w:hAnsiTheme="majorHAnsi"/>
          <w:sz w:val="34"/>
          <w:szCs w:val="34"/>
          <w:u w:val="none"/>
        </w:rPr>
        <w:t>Gender Equality Research Network</w:t>
      </w:r>
    </w:p>
    <w:p w14:paraId="748857E8" w14:textId="77777777" w:rsidR="00ED16E8" w:rsidRPr="008552C1" w:rsidRDefault="00ED16E8" w:rsidP="00ED16E8">
      <w:pPr>
        <w:pStyle w:val="Title"/>
        <w:spacing w:after="60"/>
        <w:rPr>
          <w:rFonts w:asciiTheme="majorHAnsi" w:hAnsiTheme="majorHAnsi"/>
          <w:sz w:val="34"/>
          <w:szCs w:val="34"/>
          <w:u w:val="none"/>
        </w:rPr>
      </w:pPr>
      <w:r>
        <w:rPr>
          <w:rFonts w:asciiTheme="majorHAnsi" w:hAnsiTheme="majorHAnsi"/>
          <w:sz w:val="34"/>
          <w:szCs w:val="34"/>
          <w:u w:val="none"/>
        </w:rPr>
        <w:t>Research Seed Support Scheme</w:t>
      </w:r>
    </w:p>
    <w:p w14:paraId="2DA14D94" w14:textId="77777777" w:rsidR="00ED16E8" w:rsidRPr="008552C1" w:rsidRDefault="00ED16E8" w:rsidP="00ED16E8">
      <w:pPr>
        <w:pStyle w:val="Title"/>
        <w:spacing w:after="60"/>
        <w:rPr>
          <w:rFonts w:asciiTheme="majorHAnsi" w:hAnsiTheme="majorHAnsi"/>
          <w:sz w:val="34"/>
          <w:szCs w:val="34"/>
          <w:u w:val="none"/>
        </w:rPr>
      </w:pPr>
      <w:r>
        <w:rPr>
          <w:rFonts w:asciiTheme="majorHAnsi" w:hAnsiTheme="majorHAnsi"/>
          <w:sz w:val="34"/>
          <w:szCs w:val="34"/>
          <w:u w:val="none"/>
        </w:rPr>
        <w:t>Outcome Report</w:t>
      </w:r>
    </w:p>
    <w:p w14:paraId="2029E8A1" w14:textId="77777777" w:rsidR="00ED16E8" w:rsidRPr="008552C1" w:rsidRDefault="00ED16E8" w:rsidP="00ED16E8">
      <w:pPr>
        <w:pStyle w:val="Title"/>
        <w:jc w:val="left"/>
        <w:rPr>
          <w:rFonts w:asciiTheme="majorHAnsi" w:hAnsiTheme="majorHAnsi"/>
          <w:b w:val="0"/>
          <w:szCs w:val="24"/>
          <w:u w:val="none"/>
          <w:lang w:val="en-AU"/>
        </w:rPr>
      </w:pPr>
    </w:p>
    <w:p w14:paraId="02CE355E" w14:textId="77777777" w:rsidR="00ED16E8" w:rsidRPr="00673224" w:rsidRDefault="00ED16E8" w:rsidP="00ED16E8">
      <w:pPr>
        <w:pStyle w:val="Title"/>
        <w:rPr>
          <w:rFonts w:asciiTheme="majorHAnsi" w:hAnsiTheme="majorHAnsi"/>
          <w:bCs/>
          <w:i/>
          <w:iCs/>
          <w:color w:val="FF0000"/>
          <w:szCs w:val="24"/>
          <w:u w:val="none"/>
          <w:lang w:val="en-AU"/>
        </w:rPr>
      </w:pPr>
      <w:r w:rsidRPr="00673224">
        <w:rPr>
          <w:rFonts w:asciiTheme="majorHAnsi" w:hAnsiTheme="majorHAnsi"/>
          <w:bCs/>
          <w:i/>
          <w:iCs/>
          <w:color w:val="FF0000"/>
          <w:szCs w:val="24"/>
          <w:u w:val="none"/>
          <w:lang w:val="en-AU"/>
        </w:rPr>
        <w:t>Please submit completed report by 23 December 2022.</w:t>
      </w:r>
    </w:p>
    <w:p w14:paraId="3BE21890" w14:textId="77777777" w:rsidR="00ED16E8" w:rsidRDefault="00ED16E8" w:rsidP="00ED16E8">
      <w:pPr>
        <w:pStyle w:val="Title"/>
        <w:rPr>
          <w:rFonts w:asciiTheme="majorHAnsi" w:hAnsiTheme="majorHAnsi"/>
          <w:b w:val="0"/>
          <w:szCs w:val="24"/>
          <w:u w:val="none"/>
          <w:lang w:val="en-AU"/>
        </w:rPr>
      </w:pPr>
      <w:r>
        <w:rPr>
          <w:rFonts w:asciiTheme="majorHAnsi" w:hAnsiTheme="majorHAnsi"/>
          <w:b w:val="0"/>
          <w:szCs w:val="24"/>
          <w:u w:val="none"/>
          <w:lang w:val="en-AU"/>
        </w:rPr>
        <w:t xml:space="preserve">Please send to </w:t>
      </w:r>
      <w:hyperlink r:id="rId6" w:history="1">
        <w:r w:rsidRPr="00FF69F6">
          <w:rPr>
            <w:rStyle w:val="Hyperlink"/>
            <w:rFonts w:asciiTheme="majorHAnsi" w:hAnsiTheme="majorHAnsi"/>
            <w:b w:val="0"/>
            <w:szCs w:val="24"/>
            <w:lang w:val="en-AU"/>
          </w:rPr>
          <w:t>a.macdonald@griffith.edu.au</w:t>
        </w:r>
      </w:hyperlink>
    </w:p>
    <w:p w14:paraId="6BD515BE" w14:textId="77777777" w:rsidR="00ED16E8" w:rsidRDefault="00ED16E8" w:rsidP="00ED16E8"/>
    <w:tbl>
      <w:tblPr>
        <w:tblStyle w:val="TableGrid"/>
        <w:tblW w:w="0" w:type="auto"/>
        <w:tblLook w:val="04A0" w:firstRow="1" w:lastRow="0" w:firstColumn="1" w:lastColumn="0" w:noHBand="0" w:noVBand="1"/>
      </w:tblPr>
      <w:tblGrid>
        <w:gridCol w:w="9016"/>
      </w:tblGrid>
      <w:tr w:rsidR="00ED16E8" w14:paraId="118AE9C3" w14:textId="77777777" w:rsidTr="389027A6">
        <w:tc>
          <w:tcPr>
            <w:tcW w:w="9016" w:type="dxa"/>
            <w:shd w:val="clear" w:color="auto" w:fill="FF0000"/>
          </w:tcPr>
          <w:p w14:paraId="68B00B2A" w14:textId="77777777" w:rsidR="00ED16E8" w:rsidRDefault="00ED16E8" w:rsidP="00B9549D">
            <w:pPr>
              <w:rPr>
                <w:b/>
                <w:bCs/>
                <w:color w:val="FFFFFF" w:themeColor="background1"/>
              </w:rPr>
            </w:pPr>
          </w:p>
          <w:p w14:paraId="44A92EE3" w14:textId="77777777" w:rsidR="00ED16E8" w:rsidRDefault="00ED16E8" w:rsidP="00B9549D">
            <w:pPr>
              <w:rPr>
                <w:b/>
                <w:bCs/>
                <w:color w:val="FFFFFF" w:themeColor="background1"/>
              </w:rPr>
            </w:pPr>
            <w:r>
              <w:rPr>
                <w:b/>
                <w:bCs/>
                <w:color w:val="FFFFFF" w:themeColor="background1"/>
              </w:rPr>
              <w:t>PROJECT DETAILS</w:t>
            </w:r>
          </w:p>
          <w:p w14:paraId="29789222" w14:textId="77777777" w:rsidR="00ED16E8" w:rsidRPr="00673224" w:rsidRDefault="00ED16E8" w:rsidP="00B9549D">
            <w:pPr>
              <w:rPr>
                <w:b/>
                <w:bCs/>
              </w:rPr>
            </w:pPr>
          </w:p>
        </w:tc>
      </w:tr>
      <w:tr w:rsidR="00ED16E8" w14:paraId="3654F4EE" w14:textId="77777777" w:rsidTr="389027A6">
        <w:tc>
          <w:tcPr>
            <w:tcW w:w="9016" w:type="dxa"/>
          </w:tcPr>
          <w:p w14:paraId="1936954A" w14:textId="77777777" w:rsidR="00ED16E8" w:rsidRDefault="00ED16E8" w:rsidP="00B9549D"/>
          <w:p w14:paraId="5E09FB3E" w14:textId="55A0CF34" w:rsidR="00ED16E8" w:rsidRDefault="00ED16E8" w:rsidP="00B9549D">
            <w:r>
              <w:t>Grant Research Title:</w:t>
            </w:r>
            <w:r w:rsidR="00A84BCB">
              <w:t xml:space="preserve"> Understanding</w:t>
            </w:r>
            <w:r w:rsidR="44005E58">
              <w:t xml:space="preserve"> Refugee’s Oral Health Services in Queensland</w:t>
            </w:r>
          </w:p>
          <w:p w14:paraId="3FF85EAD" w14:textId="77777777" w:rsidR="00ED16E8" w:rsidRDefault="00ED16E8" w:rsidP="00B9549D"/>
        </w:tc>
      </w:tr>
      <w:tr w:rsidR="00ED16E8" w14:paraId="6E03C4D8" w14:textId="77777777" w:rsidTr="389027A6">
        <w:tc>
          <w:tcPr>
            <w:tcW w:w="9016" w:type="dxa"/>
          </w:tcPr>
          <w:p w14:paraId="74451F61" w14:textId="77777777" w:rsidR="00ED16E8" w:rsidRDefault="00ED16E8" w:rsidP="00B9549D"/>
          <w:p w14:paraId="1AD1D309" w14:textId="1E65C698" w:rsidR="00ED16E8" w:rsidRDefault="00ED16E8" w:rsidP="00B9549D">
            <w:r>
              <w:t>Name of Project CI:</w:t>
            </w:r>
            <w:r w:rsidR="00A84BCB">
              <w:t xml:space="preserve"> Professor Juliet Pi</w:t>
            </w:r>
            <w:r w:rsidR="009F4DA3">
              <w:t>etsch</w:t>
            </w:r>
          </w:p>
          <w:p w14:paraId="7E99D16A" w14:textId="77777777" w:rsidR="00ED16E8" w:rsidRDefault="00ED16E8" w:rsidP="00B9549D"/>
        </w:tc>
      </w:tr>
      <w:tr w:rsidR="00ED16E8" w14:paraId="5A90C712" w14:textId="77777777" w:rsidTr="389027A6">
        <w:tc>
          <w:tcPr>
            <w:tcW w:w="9016" w:type="dxa"/>
          </w:tcPr>
          <w:p w14:paraId="21A37DB1" w14:textId="77777777" w:rsidR="00ED16E8" w:rsidRDefault="00ED16E8" w:rsidP="00B9549D"/>
          <w:p w14:paraId="75C30200" w14:textId="6A264A31" w:rsidR="00ED16E8" w:rsidRDefault="00ED16E8" w:rsidP="00B9549D">
            <w:r>
              <w:t>Project Team Members:</w:t>
            </w:r>
            <w:r w:rsidR="009F4DA3">
              <w:t xml:space="preserve"> </w:t>
            </w:r>
            <w:r w:rsidR="00DC0364">
              <w:t xml:space="preserve">Connie Gan, </w:t>
            </w:r>
            <w:r w:rsidR="009F4DA3">
              <w:t xml:space="preserve">Phyu </w:t>
            </w:r>
            <w:proofErr w:type="spellStart"/>
            <w:r w:rsidR="009F4DA3">
              <w:t>Phyu</w:t>
            </w:r>
            <w:proofErr w:type="spellEnd"/>
            <w:r w:rsidR="009F4DA3">
              <w:t xml:space="preserve"> </w:t>
            </w:r>
            <w:proofErr w:type="spellStart"/>
            <w:r w:rsidR="009F4DA3">
              <w:t>Oo</w:t>
            </w:r>
            <w:proofErr w:type="spellEnd"/>
            <w:r w:rsidR="009F4DA3">
              <w:t>, Thu Nguyen</w:t>
            </w:r>
            <w:r w:rsidR="00DA32EC">
              <w:t>, Christina Green</w:t>
            </w:r>
          </w:p>
          <w:p w14:paraId="645C6623" w14:textId="77777777" w:rsidR="00DA32EC" w:rsidRDefault="00DA32EC" w:rsidP="00B9549D"/>
          <w:p w14:paraId="785874DD" w14:textId="2BD5576A" w:rsidR="00ED16E8" w:rsidRDefault="00DA32EC" w:rsidP="00B9549D">
            <w:r>
              <w:t xml:space="preserve">External: </w:t>
            </w:r>
            <w:r w:rsidR="00932965">
              <w:t xml:space="preserve">Dr Alice Lu, </w:t>
            </w:r>
            <w:proofErr w:type="spellStart"/>
            <w:r w:rsidR="00932965">
              <w:t>Donata</w:t>
            </w:r>
            <w:proofErr w:type="spellEnd"/>
            <w:r w:rsidR="00932965">
              <w:t xml:space="preserve"> Sackey </w:t>
            </w:r>
          </w:p>
          <w:p w14:paraId="490832C7" w14:textId="50D0E11A" w:rsidR="00932965" w:rsidRDefault="00932965" w:rsidP="00B9549D"/>
        </w:tc>
      </w:tr>
    </w:tbl>
    <w:p w14:paraId="7F31E204" w14:textId="77777777" w:rsidR="00ED16E8" w:rsidRDefault="00ED16E8" w:rsidP="00ED16E8"/>
    <w:p w14:paraId="37B8A38C" w14:textId="77777777" w:rsidR="00ED16E8" w:rsidRDefault="00ED16E8" w:rsidP="00ED16E8"/>
    <w:tbl>
      <w:tblPr>
        <w:tblStyle w:val="TableGrid"/>
        <w:tblW w:w="0" w:type="auto"/>
        <w:tblLook w:val="04A0" w:firstRow="1" w:lastRow="0" w:firstColumn="1" w:lastColumn="0" w:noHBand="0" w:noVBand="1"/>
      </w:tblPr>
      <w:tblGrid>
        <w:gridCol w:w="9016"/>
      </w:tblGrid>
      <w:tr w:rsidR="00ED16E8" w14:paraId="6652B285" w14:textId="77777777" w:rsidTr="389027A6">
        <w:tc>
          <w:tcPr>
            <w:tcW w:w="9016" w:type="dxa"/>
            <w:shd w:val="clear" w:color="auto" w:fill="FF0000"/>
          </w:tcPr>
          <w:p w14:paraId="41670182" w14:textId="77777777" w:rsidR="00ED16E8" w:rsidRDefault="00ED16E8" w:rsidP="00B9549D">
            <w:pPr>
              <w:spacing w:line="360" w:lineRule="auto"/>
              <w:rPr>
                <w:b/>
                <w:bCs/>
                <w:color w:val="FFFFFF" w:themeColor="background1"/>
              </w:rPr>
            </w:pPr>
          </w:p>
          <w:p w14:paraId="27B1B54A" w14:textId="77777777" w:rsidR="00ED16E8" w:rsidRDefault="00ED16E8" w:rsidP="00B9549D">
            <w:pPr>
              <w:spacing w:line="360" w:lineRule="auto"/>
              <w:rPr>
                <w:b/>
                <w:bCs/>
                <w:color w:val="FFFFFF" w:themeColor="background1"/>
              </w:rPr>
            </w:pPr>
            <w:r>
              <w:rPr>
                <w:b/>
                <w:bCs/>
                <w:color w:val="FFFFFF" w:themeColor="background1"/>
              </w:rPr>
              <w:t>SUMMARY OF RESEARCH CONDUCTED</w:t>
            </w:r>
          </w:p>
          <w:p w14:paraId="6784A249" w14:textId="77777777" w:rsidR="00ED16E8" w:rsidRPr="00673224" w:rsidRDefault="00ED16E8" w:rsidP="00B9549D">
            <w:pPr>
              <w:spacing w:line="360" w:lineRule="auto"/>
              <w:rPr>
                <w:b/>
                <w:bCs/>
              </w:rPr>
            </w:pPr>
          </w:p>
        </w:tc>
      </w:tr>
      <w:tr w:rsidR="00ED16E8" w14:paraId="02B77103" w14:textId="77777777" w:rsidTr="389027A6">
        <w:tc>
          <w:tcPr>
            <w:tcW w:w="9016" w:type="dxa"/>
          </w:tcPr>
          <w:p w14:paraId="124947FB" w14:textId="77777777" w:rsidR="00263069" w:rsidRDefault="00263069" w:rsidP="00B9549D"/>
          <w:p w14:paraId="48B17BC6" w14:textId="618D4FA4" w:rsidR="008A7D35" w:rsidRDefault="008A7D35" w:rsidP="002A7DA8">
            <w:pPr>
              <w:pStyle w:val="ListParagraph"/>
              <w:numPr>
                <w:ilvl w:val="0"/>
                <w:numId w:val="8"/>
              </w:numPr>
              <w:spacing w:line="0" w:lineRule="atLeast"/>
            </w:pPr>
            <w:r>
              <w:t xml:space="preserve">A literature review on refugee health needs and gender </w:t>
            </w:r>
          </w:p>
          <w:p w14:paraId="73FA7AA2" w14:textId="380087FC" w:rsidR="008A7D35" w:rsidRDefault="00EA1035" w:rsidP="002A7DA8">
            <w:pPr>
              <w:pStyle w:val="ListParagraph"/>
              <w:numPr>
                <w:ilvl w:val="0"/>
                <w:numId w:val="8"/>
              </w:numPr>
              <w:spacing w:line="0" w:lineRule="atLeast"/>
            </w:pPr>
            <w:r>
              <w:t xml:space="preserve">An evaluation of operational records of Tzu Chi dental fair for new refugees between 2004 to </w:t>
            </w:r>
            <w:r w:rsidR="008A7D35">
              <w:t>2019 was</w:t>
            </w:r>
            <w:r>
              <w:t xml:space="preserve"> undertaken.</w:t>
            </w:r>
          </w:p>
          <w:p w14:paraId="076DA039" w14:textId="48F298DE" w:rsidR="002A7DA8" w:rsidRDefault="002A7DA8" w:rsidP="002A7DA8">
            <w:pPr>
              <w:pStyle w:val="ListParagraph"/>
              <w:numPr>
                <w:ilvl w:val="0"/>
                <w:numId w:val="8"/>
              </w:numPr>
              <w:spacing w:line="0" w:lineRule="atLeast"/>
            </w:pPr>
            <w:r>
              <w:t>Feasibility analysis on a one-stop dental fair program on addressing barriers/factors associated with access to dental care among refugees.</w:t>
            </w:r>
          </w:p>
          <w:p w14:paraId="40D5854F" w14:textId="1EE4D660" w:rsidR="005D42B1" w:rsidRDefault="005D42B1" w:rsidP="002A7DA8">
            <w:pPr>
              <w:pStyle w:val="ListParagraph"/>
              <w:numPr>
                <w:ilvl w:val="0"/>
                <w:numId w:val="8"/>
              </w:numPr>
              <w:spacing w:line="0" w:lineRule="atLeast"/>
            </w:pPr>
            <w:r>
              <w:t xml:space="preserve">Interviewed </w:t>
            </w:r>
            <w:r w:rsidR="000329D4">
              <w:t xml:space="preserve">clinical and non-clinical volunteers </w:t>
            </w:r>
          </w:p>
          <w:p w14:paraId="4BC85D2B" w14:textId="1401B96D" w:rsidR="008A7D35" w:rsidRDefault="008A7D35" w:rsidP="002A7DA8">
            <w:pPr>
              <w:pStyle w:val="ListParagraph"/>
              <w:numPr>
                <w:ilvl w:val="0"/>
                <w:numId w:val="8"/>
              </w:numPr>
              <w:spacing w:line="0" w:lineRule="atLeast"/>
            </w:pPr>
            <w:r>
              <w:t xml:space="preserve">We compiled relevant policy documents, organisation information, </w:t>
            </w:r>
          </w:p>
          <w:p w14:paraId="5E72F1C2" w14:textId="28784F73" w:rsidR="00EA1035" w:rsidRDefault="00EA1035" w:rsidP="002A7DA8">
            <w:pPr>
              <w:pStyle w:val="ListParagraph"/>
              <w:numPr>
                <w:ilvl w:val="0"/>
                <w:numId w:val="8"/>
              </w:numPr>
              <w:spacing w:line="0" w:lineRule="atLeast"/>
            </w:pPr>
            <w:r>
              <w:t>A review on the existing dental care services to exclusive to serve the newly arrived refugee.</w:t>
            </w:r>
          </w:p>
          <w:p w14:paraId="296C8B9A" w14:textId="7AB190FD" w:rsidR="002F1B1D" w:rsidRDefault="002F1B1D" w:rsidP="00B9549D"/>
          <w:p w14:paraId="2652F9D4" w14:textId="4AD3713D" w:rsidR="002F1B1D" w:rsidRDefault="5BC93FAC" w:rsidP="00B9549D">
            <w:r>
              <w:t xml:space="preserve">Remainder of the fund: </w:t>
            </w:r>
            <w:r w:rsidR="1E334D33">
              <w:t xml:space="preserve">Will be used for Transcription and developing report design. </w:t>
            </w:r>
          </w:p>
          <w:p w14:paraId="2CABFE9A" w14:textId="5D531609" w:rsidR="00692540" w:rsidRDefault="00692540" w:rsidP="00B9549D"/>
          <w:p w14:paraId="57814B08" w14:textId="77777777" w:rsidR="00692540" w:rsidRDefault="00692540" w:rsidP="00B9549D"/>
          <w:p w14:paraId="634FAD47" w14:textId="77777777" w:rsidR="00ED16E8" w:rsidRDefault="00ED16E8" w:rsidP="00B9549D"/>
        </w:tc>
      </w:tr>
    </w:tbl>
    <w:p w14:paraId="53DF1C7B" w14:textId="77777777" w:rsidR="00ED16E8" w:rsidRDefault="00ED16E8" w:rsidP="00ED16E8"/>
    <w:tbl>
      <w:tblPr>
        <w:tblStyle w:val="TableGrid"/>
        <w:tblW w:w="0" w:type="auto"/>
        <w:tblLook w:val="04A0" w:firstRow="1" w:lastRow="0" w:firstColumn="1" w:lastColumn="0" w:noHBand="0" w:noVBand="1"/>
      </w:tblPr>
      <w:tblGrid>
        <w:gridCol w:w="9016"/>
      </w:tblGrid>
      <w:tr w:rsidR="00ED16E8" w14:paraId="09A5688B" w14:textId="77777777" w:rsidTr="389027A6">
        <w:tc>
          <w:tcPr>
            <w:tcW w:w="9016" w:type="dxa"/>
            <w:shd w:val="clear" w:color="auto" w:fill="FF0000"/>
          </w:tcPr>
          <w:p w14:paraId="315482AF" w14:textId="77777777" w:rsidR="00ED16E8" w:rsidRDefault="00ED16E8" w:rsidP="00B9549D">
            <w:pPr>
              <w:rPr>
                <w:b/>
                <w:bCs/>
                <w:color w:val="FFFFFF" w:themeColor="background1"/>
              </w:rPr>
            </w:pPr>
          </w:p>
          <w:p w14:paraId="122651E9" w14:textId="0483B2F1" w:rsidR="00ED16E8" w:rsidRDefault="00ED16E8" w:rsidP="00B9549D">
            <w:pPr>
              <w:rPr>
                <w:b/>
                <w:bCs/>
                <w:color w:val="FFFFFF" w:themeColor="background1"/>
              </w:rPr>
            </w:pPr>
            <w:r w:rsidRPr="00673224">
              <w:rPr>
                <w:b/>
                <w:bCs/>
                <w:color w:val="FFFFFF" w:themeColor="background1"/>
              </w:rPr>
              <w:t>PLEASE EXPLAIN HOW YOUR PROJECT PROMOTED MULTI-DISCIPLINARY RESEARCH AND COLLABORATION WITHIN THE NETWORK ON GENDER</w:t>
            </w:r>
          </w:p>
          <w:p w14:paraId="6321256B" w14:textId="77777777" w:rsidR="00ED16E8" w:rsidRPr="00673224" w:rsidRDefault="00ED16E8" w:rsidP="00B9549D">
            <w:pPr>
              <w:rPr>
                <w:b/>
                <w:bCs/>
                <w:color w:val="FFFFFF" w:themeColor="background1"/>
              </w:rPr>
            </w:pPr>
          </w:p>
        </w:tc>
      </w:tr>
      <w:tr w:rsidR="00ED16E8" w14:paraId="30C5DF40" w14:textId="77777777" w:rsidTr="389027A6">
        <w:tc>
          <w:tcPr>
            <w:tcW w:w="9016" w:type="dxa"/>
          </w:tcPr>
          <w:p w14:paraId="29A85AD7" w14:textId="77777777" w:rsidR="00ED16E8" w:rsidRDefault="00ED16E8" w:rsidP="00B9549D"/>
          <w:p w14:paraId="7971EB71" w14:textId="77777777" w:rsidR="00875577" w:rsidRDefault="0312FCC7" w:rsidP="389027A6">
            <w:pPr>
              <w:spacing w:line="259" w:lineRule="auto"/>
            </w:pPr>
            <w:r>
              <w:t xml:space="preserve">The research focuses on availability and accessibility of oral </w:t>
            </w:r>
            <w:r w:rsidR="62656F5F">
              <w:t>health</w:t>
            </w:r>
            <w:r>
              <w:t xml:space="preserve"> and dental care services for Refugees in Queensland. </w:t>
            </w:r>
            <w:r w:rsidR="41B7E1F8">
              <w:t xml:space="preserve">Tzu Chi foundation provide dental care services to Refugees in Queensland who have </w:t>
            </w:r>
            <w:r w:rsidR="063F2B6C">
              <w:t xml:space="preserve">no or </w:t>
            </w:r>
            <w:r w:rsidR="41B7E1F8">
              <w:t xml:space="preserve">very limited access to </w:t>
            </w:r>
            <w:r w:rsidR="6794DA6D">
              <w:t xml:space="preserve">formal government services. The research studies and analyse the existing state government policies for accessing oral health in Queensland for Refugees. </w:t>
            </w:r>
            <w:r w:rsidR="6BF83468">
              <w:t>The research then analyses the role of Tzu Chi foundation and the gender sensitiveness of the servi</w:t>
            </w:r>
            <w:r w:rsidR="3F01AC5B">
              <w:t>ces t</w:t>
            </w:r>
            <w:r w:rsidR="6BF83468">
              <w:t xml:space="preserve">hey provide. </w:t>
            </w:r>
          </w:p>
          <w:p w14:paraId="2F52B185" w14:textId="77777777" w:rsidR="00875577" w:rsidRDefault="00875577" w:rsidP="389027A6">
            <w:pPr>
              <w:spacing w:line="259" w:lineRule="auto"/>
            </w:pPr>
          </w:p>
          <w:p w14:paraId="4F0175FC" w14:textId="5343F9DD" w:rsidR="0312FCC7" w:rsidRDefault="2A9D199A" w:rsidP="389027A6">
            <w:pPr>
              <w:spacing w:line="259" w:lineRule="auto"/>
            </w:pPr>
            <w:r>
              <w:t xml:space="preserve">Quantitative analysis provides age and sex aggregated data that informs the needs </w:t>
            </w:r>
            <w:r w:rsidR="679045D5">
              <w:t xml:space="preserve">of and access to </w:t>
            </w:r>
            <w:r w:rsidR="7E827885">
              <w:t>oral health services among</w:t>
            </w:r>
            <w:r>
              <w:t xml:space="preserve"> different sex categories </w:t>
            </w:r>
            <w:r w:rsidR="6941FECB">
              <w:t xml:space="preserve">among Refugees </w:t>
            </w:r>
            <w:r w:rsidR="532BB314">
              <w:t xml:space="preserve">in Queensland. The analysis also </w:t>
            </w:r>
            <w:r w:rsidR="77056F20">
              <w:t xml:space="preserve">informs the improvements in collecting sex and age aggerated data. </w:t>
            </w:r>
          </w:p>
          <w:p w14:paraId="55F975D4" w14:textId="77777777" w:rsidR="00866431" w:rsidRDefault="00866431" w:rsidP="389027A6">
            <w:pPr>
              <w:spacing w:line="259" w:lineRule="auto"/>
            </w:pPr>
          </w:p>
          <w:p w14:paraId="4B31A877" w14:textId="38C8D565" w:rsidR="77056F20" w:rsidRDefault="77056F20" w:rsidP="389027A6">
            <w:pPr>
              <w:spacing w:line="259" w:lineRule="auto"/>
            </w:pPr>
            <w:r>
              <w:t>Qualitative data, on the other hand, collects information on the delivery of services and perspective</w:t>
            </w:r>
            <w:r w:rsidR="50757D77">
              <w:t xml:space="preserve">s of service providers on Refugee’s access to oral health care. The scope of data collection captures gender sensitiveness or gender sensitive awareness of health care </w:t>
            </w:r>
            <w:r w:rsidR="237EF56A">
              <w:t>worker and support staff while delivering services. The outcomes of the qualitative analysis inform the gender responsiveness of the service delivery and recommendations for improvement.</w:t>
            </w:r>
            <w:r w:rsidR="21C9F3B3">
              <w:t xml:space="preserve"> </w:t>
            </w:r>
          </w:p>
          <w:p w14:paraId="3AB1A261" w14:textId="5E2A3475" w:rsidR="00ED16E8" w:rsidRDefault="00ED16E8" w:rsidP="00B9549D"/>
          <w:p w14:paraId="13DC7691" w14:textId="511D002E" w:rsidR="00875577" w:rsidRPr="009435C9" w:rsidRDefault="00875577" w:rsidP="00B9549D">
            <w:pPr>
              <w:rPr>
                <w:b/>
                <w:bCs/>
              </w:rPr>
            </w:pPr>
            <w:r w:rsidRPr="009435C9">
              <w:rPr>
                <w:b/>
                <w:bCs/>
              </w:rPr>
              <w:t xml:space="preserve">Preliminary findings: </w:t>
            </w:r>
          </w:p>
          <w:p w14:paraId="1807D724" w14:textId="2431A951" w:rsidR="002F1B1D" w:rsidRDefault="00FC1276" w:rsidP="00B9549D">
            <w:r w:rsidRPr="00FC1276">
              <w:t>Predisposing factors, such as English language proficiency, education, health and dental literacy and acculturation and integration, were shown to be significantly associated with refugees' access to dental care. However, there is limited evidence to determine the effect of individual enabling and need and contextual factors</w:t>
            </w:r>
            <w:r w:rsidR="007A1455">
              <w:t xml:space="preserve"> especially in a gender-sensitive lens</w:t>
            </w:r>
            <w:r w:rsidRPr="00FC1276">
              <w:t>.</w:t>
            </w:r>
          </w:p>
          <w:p w14:paraId="6C23B439" w14:textId="77777777" w:rsidR="00ED16E8" w:rsidRDefault="00ED16E8" w:rsidP="00B9549D"/>
        </w:tc>
      </w:tr>
      <w:tr w:rsidR="00ED16E8" w14:paraId="212D5288" w14:textId="77777777" w:rsidTr="389027A6">
        <w:tc>
          <w:tcPr>
            <w:tcW w:w="9016" w:type="dxa"/>
            <w:shd w:val="clear" w:color="auto" w:fill="FF0000"/>
          </w:tcPr>
          <w:p w14:paraId="6DFB478D" w14:textId="77777777" w:rsidR="00ED16E8" w:rsidRDefault="00ED16E8" w:rsidP="00B9549D">
            <w:pPr>
              <w:rPr>
                <w:b/>
                <w:bCs/>
                <w:color w:val="FFFFFF" w:themeColor="background1"/>
              </w:rPr>
            </w:pPr>
          </w:p>
          <w:p w14:paraId="5BF4E634" w14:textId="37C87997" w:rsidR="00ED16E8" w:rsidRPr="00673224" w:rsidRDefault="0040795E" w:rsidP="00B9549D">
            <w:pPr>
              <w:rPr>
                <w:b/>
                <w:bCs/>
                <w:color w:val="FFFFFF" w:themeColor="background1"/>
              </w:rPr>
            </w:pPr>
            <w:r>
              <w:rPr>
                <w:b/>
                <w:bCs/>
                <w:color w:val="FFFFFF" w:themeColor="background1"/>
              </w:rPr>
              <w:t>LIST THE</w:t>
            </w:r>
            <w:r w:rsidR="00ED16E8" w:rsidRPr="00673224">
              <w:rPr>
                <w:b/>
                <w:bCs/>
                <w:color w:val="FFFFFF" w:themeColor="background1"/>
              </w:rPr>
              <w:t xml:space="preserve"> OUTCOMES FROM THE PROJECT</w:t>
            </w:r>
            <w:r>
              <w:rPr>
                <w:b/>
                <w:bCs/>
                <w:color w:val="FFFFFF" w:themeColor="background1"/>
              </w:rPr>
              <w:t xml:space="preserve">: RESEARCH </w:t>
            </w:r>
            <w:r w:rsidR="00ED16E8" w:rsidRPr="00673224">
              <w:rPr>
                <w:b/>
                <w:bCs/>
                <w:color w:val="FFFFFF" w:themeColor="background1"/>
              </w:rPr>
              <w:t xml:space="preserve"> (</w:t>
            </w:r>
            <w:proofErr w:type="spellStart"/>
            <w:r>
              <w:rPr>
                <w:b/>
                <w:bCs/>
                <w:color w:val="FFFFFF" w:themeColor="background1"/>
              </w:rPr>
              <w:t>ie</w:t>
            </w:r>
            <w:proofErr w:type="spellEnd"/>
            <w:r>
              <w:rPr>
                <w:b/>
                <w:bCs/>
                <w:color w:val="FFFFFF" w:themeColor="background1"/>
              </w:rPr>
              <w:t xml:space="preserve"> </w:t>
            </w:r>
            <w:r w:rsidR="00ED16E8" w:rsidRPr="00673224">
              <w:rPr>
                <w:b/>
                <w:bCs/>
                <w:color w:val="FFFFFF" w:themeColor="background1"/>
              </w:rPr>
              <w:t xml:space="preserve">PUBLICATION, GRANT APPLICATIONS, </w:t>
            </w:r>
            <w:r>
              <w:rPr>
                <w:b/>
                <w:bCs/>
                <w:color w:val="FFFFFF" w:themeColor="background1"/>
              </w:rPr>
              <w:t>AND/</w:t>
            </w:r>
            <w:r w:rsidR="00ED16E8" w:rsidRPr="00673224">
              <w:rPr>
                <w:b/>
                <w:bCs/>
                <w:color w:val="FFFFFF" w:themeColor="background1"/>
              </w:rPr>
              <w:t xml:space="preserve">OR </w:t>
            </w:r>
            <w:r>
              <w:rPr>
                <w:b/>
                <w:bCs/>
                <w:color w:val="FFFFFF" w:themeColor="background1"/>
              </w:rPr>
              <w:t>ENGAGEMENT (EXTERNAL IMPACT</w:t>
            </w:r>
            <w:r w:rsidR="00ED16E8" w:rsidRPr="00673224">
              <w:rPr>
                <w:b/>
                <w:bCs/>
                <w:color w:val="FFFFFF" w:themeColor="background1"/>
              </w:rPr>
              <w:t>)</w:t>
            </w:r>
          </w:p>
          <w:p w14:paraId="5D304E01" w14:textId="77777777" w:rsidR="00ED16E8" w:rsidRPr="00673224" w:rsidRDefault="00ED16E8" w:rsidP="00B9549D">
            <w:pPr>
              <w:rPr>
                <w:b/>
                <w:bCs/>
                <w:color w:val="FFFFFF" w:themeColor="background1"/>
              </w:rPr>
            </w:pPr>
          </w:p>
        </w:tc>
      </w:tr>
      <w:tr w:rsidR="00ED16E8" w14:paraId="428F2636" w14:textId="77777777" w:rsidTr="00C909D8">
        <w:trPr>
          <w:trHeight w:val="699"/>
        </w:trPr>
        <w:tc>
          <w:tcPr>
            <w:tcW w:w="9016" w:type="dxa"/>
          </w:tcPr>
          <w:p w14:paraId="62C400E6" w14:textId="77777777" w:rsidR="00ED16E8" w:rsidRDefault="00ED16E8" w:rsidP="00B9549D"/>
          <w:p w14:paraId="6955EBD4" w14:textId="3532A1A9" w:rsidR="00ED16E8" w:rsidRDefault="4DBF47DA" w:rsidP="00BA5671">
            <w:pPr>
              <w:pStyle w:val="ListParagraph"/>
              <w:numPr>
                <w:ilvl w:val="0"/>
                <w:numId w:val="9"/>
              </w:numPr>
            </w:pPr>
            <w:r>
              <w:t>Engagement</w:t>
            </w:r>
            <w:r w:rsidR="2AB1F8F0">
              <w:t xml:space="preserve"> with </w:t>
            </w:r>
            <w:r w:rsidR="11E29E1C">
              <w:t>industry partners</w:t>
            </w:r>
            <w:r w:rsidR="46840AB6">
              <w:t>: Tzu Chi Foundation and Refugee Health Network Queensland</w:t>
            </w:r>
          </w:p>
          <w:p w14:paraId="61918AD8" w14:textId="098716E6" w:rsidR="00EB3E92" w:rsidRDefault="00962BC3" w:rsidP="00BA5671">
            <w:pPr>
              <w:pStyle w:val="ListParagraph"/>
              <w:numPr>
                <w:ilvl w:val="0"/>
                <w:numId w:val="9"/>
              </w:numPr>
            </w:pPr>
            <w:r>
              <w:t>Submitted (and received approval) for an ethical clearance application relating to interview guide and delivery (GU</w:t>
            </w:r>
            <w:r w:rsidR="006D4213">
              <w:t xml:space="preserve"> ref no: 2022/081)</w:t>
            </w:r>
          </w:p>
          <w:p w14:paraId="4AD35E57" w14:textId="200791D5" w:rsidR="00E47BAD" w:rsidRDefault="00E47BAD" w:rsidP="00BA5671">
            <w:pPr>
              <w:pStyle w:val="ListParagraph"/>
              <w:numPr>
                <w:ilvl w:val="0"/>
                <w:numId w:val="9"/>
              </w:numPr>
              <w:spacing w:line="0" w:lineRule="atLeast"/>
            </w:pPr>
            <w:r>
              <w:t xml:space="preserve">A dashboard to </w:t>
            </w:r>
            <w:r w:rsidR="00090462">
              <w:t xml:space="preserve">visualise dental fair data for stakeholders to </w:t>
            </w:r>
            <w:r w:rsidR="007A5C46">
              <w:t xml:space="preserve">gain insights into areas that need improvement </w:t>
            </w:r>
            <w:r w:rsidR="006C0E67">
              <w:t xml:space="preserve">as well as track performance </w:t>
            </w:r>
            <w:r w:rsidR="00692540">
              <w:t>(</w:t>
            </w:r>
            <w:r w:rsidR="0094197B">
              <w:t>Annex</w:t>
            </w:r>
            <w:r w:rsidR="00692540">
              <w:t xml:space="preserve"> 1)</w:t>
            </w:r>
            <w:r w:rsidR="009567B9">
              <w:t xml:space="preserve">. This visual information tool has helped spot </w:t>
            </w:r>
            <w:r w:rsidR="00190314">
              <w:t xml:space="preserve">trends over time and facilitate discussion on the data management for the upcoming dental fair in Toowoomba. </w:t>
            </w:r>
          </w:p>
          <w:p w14:paraId="7CB5CF71" w14:textId="16886A58" w:rsidR="00BA5671" w:rsidRDefault="00F118CD" w:rsidP="00BA5671">
            <w:pPr>
              <w:pStyle w:val="ListParagraph"/>
              <w:numPr>
                <w:ilvl w:val="0"/>
                <w:numId w:val="9"/>
              </w:numPr>
              <w:spacing w:line="0" w:lineRule="atLeast"/>
            </w:pPr>
            <w:r>
              <w:t xml:space="preserve">Discussion with stakeholders on the implementation of </w:t>
            </w:r>
            <w:hyperlink r:id="rId7" w:history="1">
              <w:r w:rsidR="00BA5671" w:rsidRPr="00907BB2">
                <w:rPr>
                  <w:rStyle w:val="Hyperlink"/>
                </w:rPr>
                <w:t xml:space="preserve">QLD’s </w:t>
              </w:r>
              <w:r w:rsidR="003011B2" w:rsidRPr="00907BB2">
                <w:rPr>
                  <w:rStyle w:val="Hyperlink"/>
                </w:rPr>
                <w:t xml:space="preserve">Refugee Health and Wellbeing Policy and </w:t>
              </w:r>
              <w:r w:rsidR="00BA5671" w:rsidRPr="00907BB2">
                <w:rPr>
                  <w:rStyle w:val="Hyperlink"/>
                </w:rPr>
                <w:t>Action Plan 2022-2027</w:t>
              </w:r>
            </w:hyperlink>
            <w:r w:rsidR="005A6914">
              <w:t xml:space="preserve"> especially </w:t>
            </w:r>
            <w:r w:rsidR="0096023A">
              <w:t>on ways to “</w:t>
            </w:r>
            <w:r w:rsidR="0096023A" w:rsidRPr="0096023A">
              <w:rPr>
                <w:i/>
                <w:iCs/>
              </w:rPr>
              <w:t xml:space="preserve">support </w:t>
            </w:r>
            <w:proofErr w:type="spellStart"/>
            <w:r w:rsidR="0096023A" w:rsidRPr="0096023A">
              <w:rPr>
                <w:i/>
                <w:iCs/>
              </w:rPr>
              <w:t>on going</w:t>
            </w:r>
            <w:proofErr w:type="spellEnd"/>
            <w:r w:rsidR="0096023A" w:rsidRPr="0096023A">
              <w:rPr>
                <w:i/>
                <w:iCs/>
              </w:rPr>
              <w:t xml:space="preserve"> research to develop innovative models of care for people from refugee background</w:t>
            </w:r>
            <w:r w:rsidR="0096023A">
              <w:rPr>
                <w:i/>
                <w:iCs/>
              </w:rPr>
              <w:t>”</w:t>
            </w:r>
            <w:r w:rsidR="0096023A">
              <w:t xml:space="preserve">. </w:t>
            </w:r>
          </w:p>
          <w:p w14:paraId="7D305739" w14:textId="2532D0CD" w:rsidR="00ED16E8" w:rsidRDefault="008B13CE" w:rsidP="00B9549D">
            <w:pPr>
              <w:pStyle w:val="ListParagraph"/>
              <w:numPr>
                <w:ilvl w:val="0"/>
                <w:numId w:val="9"/>
              </w:numPr>
              <w:spacing w:line="0" w:lineRule="atLeast"/>
            </w:pPr>
            <w:r>
              <w:lastRenderedPageBreak/>
              <w:t xml:space="preserve">Draft manuscript entitled: </w:t>
            </w:r>
            <w:r w:rsidR="00DB6A06">
              <w:t xml:space="preserve">“Dental Health Care for Post-Arrival Refugee Community in Queensland” to be submitted to journal: </w:t>
            </w:r>
            <w:r w:rsidR="00DB6A06" w:rsidRPr="00DB6A06">
              <w:rPr>
                <w:i/>
                <w:iCs/>
              </w:rPr>
              <w:t>Community Dentistry and Oral Epidemiology</w:t>
            </w:r>
            <w:r w:rsidR="00DB6A06">
              <w:t>.</w:t>
            </w:r>
          </w:p>
        </w:tc>
      </w:tr>
    </w:tbl>
    <w:p w14:paraId="5629DD3F" w14:textId="77777777" w:rsidR="00ED16E8" w:rsidRDefault="00ED16E8" w:rsidP="00ED16E8"/>
    <w:tbl>
      <w:tblPr>
        <w:tblStyle w:val="TableGrid"/>
        <w:tblW w:w="0" w:type="auto"/>
        <w:tblLook w:val="04A0" w:firstRow="1" w:lastRow="0" w:firstColumn="1" w:lastColumn="0" w:noHBand="0" w:noVBand="1"/>
      </w:tblPr>
      <w:tblGrid>
        <w:gridCol w:w="9016"/>
      </w:tblGrid>
      <w:tr w:rsidR="00ED16E8" w14:paraId="0D614F87" w14:textId="77777777" w:rsidTr="389027A6">
        <w:tc>
          <w:tcPr>
            <w:tcW w:w="9016" w:type="dxa"/>
            <w:shd w:val="clear" w:color="auto" w:fill="FF0000"/>
          </w:tcPr>
          <w:p w14:paraId="1F19ABDB" w14:textId="77777777" w:rsidR="00ED16E8" w:rsidRDefault="00ED16E8" w:rsidP="00B9549D">
            <w:pPr>
              <w:rPr>
                <w:b/>
                <w:bCs/>
                <w:color w:val="FFFFFF" w:themeColor="background1"/>
              </w:rPr>
            </w:pPr>
          </w:p>
          <w:p w14:paraId="36E2AE9A" w14:textId="726D9A83" w:rsidR="00ED16E8" w:rsidRPr="00673224" w:rsidRDefault="00ED16E8" w:rsidP="00B9549D">
            <w:pPr>
              <w:rPr>
                <w:b/>
                <w:bCs/>
                <w:color w:val="FFFFFF" w:themeColor="background1"/>
              </w:rPr>
            </w:pPr>
            <w:r w:rsidRPr="00673224">
              <w:rPr>
                <w:b/>
                <w:bCs/>
                <w:color w:val="FFFFFF" w:themeColor="background1"/>
              </w:rPr>
              <w:t>HOW DID THIS PROJECT PROMOTE RESEARCH COLLABORATION WITHIN THE NETWORK, INCLUDING ACROSS ALL ACADEMIC</w:t>
            </w:r>
          </w:p>
          <w:p w14:paraId="31510CB5" w14:textId="77777777" w:rsidR="00ED16E8" w:rsidRPr="00673224" w:rsidRDefault="00ED16E8" w:rsidP="00B9549D">
            <w:pPr>
              <w:rPr>
                <w:b/>
                <w:bCs/>
                <w:color w:val="FFFFFF" w:themeColor="background1"/>
              </w:rPr>
            </w:pPr>
          </w:p>
        </w:tc>
      </w:tr>
      <w:tr w:rsidR="00ED16E8" w14:paraId="559EB685" w14:textId="77777777" w:rsidTr="389027A6">
        <w:tc>
          <w:tcPr>
            <w:tcW w:w="9016" w:type="dxa"/>
          </w:tcPr>
          <w:p w14:paraId="1ECFF592" w14:textId="77777777" w:rsidR="00CB45DD" w:rsidRDefault="00CB45DD" w:rsidP="00B9549D"/>
          <w:p w14:paraId="3CE03896" w14:textId="1F6D0FF1" w:rsidR="2D11BA73" w:rsidRDefault="2D11BA73">
            <w:r>
              <w:t>Collaboration between SGIR and School of</w:t>
            </w:r>
            <w:r w:rsidR="00866D5B">
              <w:t xml:space="preserve"> Medicine and Dentistry (</w:t>
            </w:r>
            <w:proofErr w:type="spellStart"/>
            <w:r w:rsidR="00866D5B">
              <w:t>SoMAD</w:t>
            </w:r>
            <w:proofErr w:type="spellEnd"/>
            <w:r w:rsidR="00866D5B">
              <w:t xml:space="preserve">) </w:t>
            </w:r>
          </w:p>
          <w:p w14:paraId="331730A4" w14:textId="1B4707D2" w:rsidR="00CC0856" w:rsidRPr="00CC0856" w:rsidRDefault="00CB45DD" w:rsidP="00B9549D">
            <w:r w:rsidRPr="00CC0856">
              <w:t>Two p</w:t>
            </w:r>
            <w:r w:rsidR="0095526A" w:rsidRPr="00CC0856">
              <w:t>ost</w:t>
            </w:r>
            <w:r w:rsidRPr="00CC0856">
              <w:t>-</w:t>
            </w:r>
            <w:r w:rsidR="0095526A" w:rsidRPr="00CC0856">
              <w:t xml:space="preserve">graduate student </w:t>
            </w:r>
            <w:r w:rsidR="004927DE" w:rsidRPr="00CC0856">
              <w:t xml:space="preserve">projects </w:t>
            </w:r>
            <w:r w:rsidR="00866D5B" w:rsidRPr="00CC0856">
              <w:t xml:space="preserve">including one </w:t>
            </w:r>
            <w:r w:rsidR="004927DE" w:rsidRPr="00CC0856">
              <w:t xml:space="preserve">12-week </w:t>
            </w:r>
            <w:r w:rsidR="0095526A" w:rsidRPr="00CC0856">
              <w:t xml:space="preserve">Summer Research Program </w:t>
            </w:r>
            <w:r w:rsidR="00184772" w:rsidRPr="00CC0856">
              <w:t>$1,800</w:t>
            </w:r>
            <w:r w:rsidR="00866D5B" w:rsidRPr="00CC0856">
              <w:t xml:space="preserve"> scholarship. </w:t>
            </w:r>
          </w:p>
          <w:p w14:paraId="45154725" w14:textId="7EF1C36B" w:rsidR="00ED16E8" w:rsidRPr="00CC0856" w:rsidRDefault="00EC2E22" w:rsidP="00B9549D">
            <w:r w:rsidRPr="00CC0856">
              <w:t xml:space="preserve">Two </w:t>
            </w:r>
            <w:r w:rsidR="0095526A" w:rsidRPr="00CC0856">
              <w:t>Master of Public Health (Dissertation)</w:t>
            </w:r>
            <w:r w:rsidRPr="00CC0856">
              <w:t xml:space="preserve">. (1) </w:t>
            </w:r>
            <w:r w:rsidR="00CC0856" w:rsidRPr="00CC0856">
              <w:t>Enhancing Dental Health Literacy and Self-Efficacy in New Settlers: The Role of Dental Practitioners</w:t>
            </w:r>
            <w:r w:rsidRPr="00CC0856">
              <w:t xml:space="preserve">; (2) </w:t>
            </w:r>
            <w:r w:rsidR="00CC0856" w:rsidRPr="00CC0856">
              <w:t>Oral health service utilization of migrants: implications for public health policy.</w:t>
            </w:r>
          </w:p>
          <w:p w14:paraId="4424DF7E" w14:textId="77777777" w:rsidR="00ED16E8" w:rsidRDefault="00ED16E8" w:rsidP="00B9549D"/>
        </w:tc>
      </w:tr>
    </w:tbl>
    <w:p w14:paraId="44CCECAD" w14:textId="77777777" w:rsidR="00ED16E8" w:rsidRDefault="00ED16E8" w:rsidP="00ED16E8"/>
    <w:tbl>
      <w:tblPr>
        <w:tblStyle w:val="TableGrid"/>
        <w:tblW w:w="0" w:type="auto"/>
        <w:tblLook w:val="04A0" w:firstRow="1" w:lastRow="0" w:firstColumn="1" w:lastColumn="0" w:noHBand="0" w:noVBand="1"/>
      </w:tblPr>
      <w:tblGrid>
        <w:gridCol w:w="9016"/>
      </w:tblGrid>
      <w:tr w:rsidR="00ED16E8" w14:paraId="15DF7E76" w14:textId="77777777" w:rsidTr="00B9549D">
        <w:tc>
          <w:tcPr>
            <w:tcW w:w="9016" w:type="dxa"/>
            <w:shd w:val="clear" w:color="auto" w:fill="FF0000"/>
          </w:tcPr>
          <w:p w14:paraId="04A072F5" w14:textId="77777777" w:rsidR="00ED16E8" w:rsidRDefault="00ED16E8" w:rsidP="00B9549D">
            <w:pPr>
              <w:rPr>
                <w:b/>
                <w:bCs/>
                <w:color w:val="FFFFFF" w:themeColor="background1"/>
              </w:rPr>
            </w:pPr>
          </w:p>
          <w:p w14:paraId="1A66C6C5" w14:textId="77777777" w:rsidR="00ED16E8" w:rsidRPr="00673224" w:rsidRDefault="00ED16E8" w:rsidP="00B9549D">
            <w:pPr>
              <w:rPr>
                <w:b/>
                <w:bCs/>
                <w:color w:val="FFFFFF" w:themeColor="background1"/>
              </w:rPr>
            </w:pPr>
            <w:r>
              <w:rPr>
                <w:b/>
                <w:bCs/>
                <w:color w:val="FFFFFF" w:themeColor="background1"/>
              </w:rPr>
              <w:t>RECOMMENDATIONS FOR FUTURE DEVELOPMENT / NEXT STEPS</w:t>
            </w:r>
          </w:p>
          <w:p w14:paraId="73E43C05" w14:textId="77777777" w:rsidR="00ED16E8" w:rsidRPr="00673224" w:rsidRDefault="00ED16E8" w:rsidP="00B9549D">
            <w:pPr>
              <w:rPr>
                <w:b/>
                <w:bCs/>
                <w:color w:val="FFFFFF" w:themeColor="background1"/>
              </w:rPr>
            </w:pPr>
          </w:p>
        </w:tc>
      </w:tr>
      <w:tr w:rsidR="00ED16E8" w14:paraId="00CA2001" w14:textId="77777777" w:rsidTr="00B9549D">
        <w:tc>
          <w:tcPr>
            <w:tcW w:w="9016" w:type="dxa"/>
          </w:tcPr>
          <w:p w14:paraId="3A03250C" w14:textId="77777777" w:rsidR="00ED16E8" w:rsidRDefault="00ED16E8" w:rsidP="00B9549D"/>
          <w:p w14:paraId="386E3B91" w14:textId="311C6712" w:rsidR="00556D8F" w:rsidRDefault="00D261F2" w:rsidP="00305E1F">
            <w:pPr>
              <w:pStyle w:val="ListParagraph"/>
              <w:numPr>
                <w:ilvl w:val="0"/>
                <w:numId w:val="14"/>
              </w:numPr>
            </w:pPr>
            <w:r>
              <w:t>Dissemination result/report plan</w:t>
            </w:r>
            <w:r w:rsidR="008303B9">
              <w:t xml:space="preserve"> to Queensland Refugee Health Network, Tzu Chi Foundation, </w:t>
            </w:r>
            <w:r w:rsidR="00085813">
              <w:t xml:space="preserve">Queensland </w:t>
            </w:r>
            <w:r w:rsidR="00305E1F">
              <w:t xml:space="preserve">Ethnic Community Council, </w:t>
            </w:r>
            <w:r w:rsidR="00085813">
              <w:t xml:space="preserve"> </w:t>
            </w:r>
          </w:p>
          <w:p w14:paraId="75FED7DA" w14:textId="5022E7CF" w:rsidR="006B1BCE" w:rsidRDefault="006B1BCE" w:rsidP="00305E1F">
            <w:pPr>
              <w:pStyle w:val="ListParagraph"/>
              <w:numPr>
                <w:ilvl w:val="0"/>
                <w:numId w:val="14"/>
              </w:numPr>
            </w:pPr>
            <w:r>
              <w:t>Refine data collection methods and pilot in the next dental fair</w:t>
            </w:r>
          </w:p>
          <w:p w14:paraId="6623CDC8" w14:textId="1F95563C" w:rsidR="00305E1F" w:rsidRDefault="00305E1F" w:rsidP="00305E1F">
            <w:pPr>
              <w:pStyle w:val="ListParagraph"/>
              <w:numPr>
                <w:ilvl w:val="0"/>
                <w:numId w:val="14"/>
              </w:numPr>
            </w:pPr>
            <w:r>
              <w:t>I</w:t>
            </w:r>
            <w:r w:rsidR="001C1179">
              <w:t>dentify synerg</w:t>
            </w:r>
            <w:r w:rsidR="00DC48A9">
              <w:t>ies</w:t>
            </w:r>
            <w:r w:rsidR="001C1179">
              <w:t xml:space="preserve"> </w:t>
            </w:r>
            <w:r>
              <w:t xml:space="preserve">with </w:t>
            </w:r>
            <w:r w:rsidR="001C1179">
              <w:t xml:space="preserve">other </w:t>
            </w:r>
            <w:r w:rsidR="002E0884">
              <w:t xml:space="preserve">research project: Connie’s </w:t>
            </w:r>
            <w:r w:rsidR="00DC48A9">
              <w:t xml:space="preserve">Queensland Resilience and Risk Reduction Fund </w:t>
            </w:r>
            <w:r w:rsidR="002E0884">
              <w:t>“Fostering Culturally Inclusive Emergency Management”</w:t>
            </w:r>
            <w:r w:rsidR="00DC48A9">
              <w:t xml:space="preserve">. </w:t>
            </w:r>
          </w:p>
          <w:p w14:paraId="1704037B" w14:textId="77777777" w:rsidR="006B1BCE" w:rsidRDefault="006B1BCE" w:rsidP="00B9549D"/>
          <w:p w14:paraId="46A9F288" w14:textId="77777777" w:rsidR="00ED16E8" w:rsidRDefault="00ED16E8" w:rsidP="00B9549D"/>
        </w:tc>
      </w:tr>
    </w:tbl>
    <w:p w14:paraId="653A7C9C" w14:textId="77777777" w:rsidR="00ED16E8" w:rsidRDefault="00ED16E8" w:rsidP="00ED16E8"/>
    <w:p w14:paraId="0FCB59FF" w14:textId="0B12800C" w:rsidR="00ED16E8" w:rsidRDefault="00ED16E8" w:rsidP="00ED16E8">
      <w:pPr>
        <w:rPr>
          <w:rFonts w:ascii="Arial" w:eastAsia="Times New Roman" w:hAnsi="Arial" w:cs="Arial"/>
          <w:sz w:val="20"/>
          <w:szCs w:val="20"/>
        </w:rPr>
      </w:pPr>
    </w:p>
    <w:p w14:paraId="5FC7151D" w14:textId="77777777" w:rsidR="00790FBB" w:rsidRPr="00DD193F" w:rsidRDefault="00790FBB" w:rsidP="00ED16E8">
      <w:pPr>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5811"/>
      </w:tblGrid>
      <w:tr w:rsidR="00ED16E8" w:rsidRPr="00DD193F" w14:paraId="5C7E3FAF" w14:textId="77777777" w:rsidTr="00B9549D">
        <w:tc>
          <w:tcPr>
            <w:tcW w:w="9016" w:type="dxa"/>
            <w:gridSpan w:val="2"/>
            <w:shd w:val="clear" w:color="auto" w:fill="FF0000"/>
          </w:tcPr>
          <w:p w14:paraId="07484B1B" w14:textId="77777777" w:rsidR="00ED16E8" w:rsidRDefault="00ED16E8" w:rsidP="00B9549D">
            <w:pPr>
              <w:jc w:val="both"/>
              <w:rPr>
                <w:rFonts w:ascii="Arial" w:eastAsia="Times New Roman" w:hAnsi="Arial" w:cs="Arial"/>
                <w:b/>
                <w:sz w:val="20"/>
                <w:szCs w:val="20"/>
                <w:lang w:eastAsia="en-AU"/>
              </w:rPr>
            </w:pPr>
          </w:p>
          <w:p w14:paraId="7B75F883" w14:textId="77777777" w:rsidR="00ED16E8" w:rsidRPr="00673224" w:rsidRDefault="00ED16E8" w:rsidP="00B9549D">
            <w:pPr>
              <w:jc w:val="both"/>
              <w:rPr>
                <w:rFonts w:ascii="Arial" w:eastAsia="Times New Roman" w:hAnsi="Arial" w:cs="Arial"/>
                <w:b/>
                <w:color w:val="FFFFFF" w:themeColor="background1"/>
                <w:sz w:val="20"/>
                <w:szCs w:val="20"/>
                <w:lang w:eastAsia="en-AU"/>
              </w:rPr>
            </w:pPr>
            <w:r w:rsidRPr="00673224">
              <w:rPr>
                <w:rFonts w:ascii="Arial" w:eastAsia="Times New Roman" w:hAnsi="Arial" w:cs="Arial"/>
                <w:b/>
                <w:color w:val="FFFFFF" w:themeColor="background1"/>
                <w:sz w:val="20"/>
                <w:szCs w:val="20"/>
                <w:lang w:eastAsia="en-AU"/>
              </w:rPr>
              <w:t>PLEASE PROVIDE A BUDGET SHOWING HOW THIS GRANT WAS EXPENDED</w:t>
            </w:r>
          </w:p>
          <w:p w14:paraId="77CBB225" w14:textId="77777777" w:rsidR="00ED16E8" w:rsidRPr="00DD193F" w:rsidRDefault="00ED16E8" w:rsidP="00B9549D">
            <w:pPr>
              <w:jc w:val="both"/>
              <w:rPr>
                <w:rFonts w:ascii="Arial" w:eastAsia="Times New Roman" w:hAnsi="Arial" w:cs="Arial"/>
                <w:b/>
                <w:sz w:val="20"/>
                <w:szCs w:val="20"/>
                <w:lang w:eastAsia="en-AU"/>
              </w:rPr>
            </w:pPr>
          </w:p>
        </w:tc>
      </w:tr>
      <w:tr w:rsidR="00ED16E8" w:rsidRPr="00DD193F" w14:paraId="59C494E2" w14:textId="77777777" w:rsidTr="00B9549D">
        <w:tc>
          <w:tcPr>
            <w:tcW w:w="3205" w:type="dxa"/>
          </w:tcPr>
          <w:p w14:paraId="725DFB5B" w14:textId="77777777" w:rsidR="00ED16E8" w:rsidRPr="00DD193F" w:rsidRDefault="00ED16E8" w:rsidP="00B9549D">
            <w:pPr>
              <w:spacing w:line="360" w:lineRule="auto"/>
              <w:jc w:val="both"/>
              <w:rPr>
                <w:rFonts w:ascii="Arial" w:eastAsia="Times New Roman" w:hAnsi="Arial" w:cs="Arial"/>
                <w:b/>
                <w:bCs/>
                <w:sz w:val="20"/>
                <w:szCs w:val="20"/>
                <w:lang w:eastAsia="en-AU"/>
              </w:rPr>
            </w:pPr>
            <w:r w:rsidRPr="00DD193F">
              <w:rPr>
                <w:rFonts w:ascii="Arial" w:eastAsia="Times New Roman" w:hAnsi="Arial" w:cs="Arial"/>
                <w:b/>
                <w:bCs/>
                <w:sz w:val="20"/>
                <w:szCs w:val="20"/>
                <w:lang w:eastAsia="en-AU"/>
              </w:rPr>
              <w:t>EXPENDITURE ITEM:</w:t>
            </w:r>
          </w:p>
        </w:tc>
        <w:tc>
          <w:tcPr>
            <w:tcW w:w="5811" w:type="dxa"/>
          </w:tcPr>
          <w:p w14:paraId="1A80C9A6" w14:textId="77777777" w:rsidR="00ED16E8" w:rsidRPr="00DD193F" w:rsidRDefault="00ED16E8" w:rsidP="00B9549D">
            <w:pPr>
              <w:spacing w:line="360" w:lineRule="auto"/>
              <w:jc w:val="both"/>
              <w:rPr>
                <w:rFonts w:ascii="Arial" w:eastAsia="Times New Roman" w:hAnsi="Arial" w:cs="Arial"/>
                <w:b/>
                <w:sz w:val="20"/>
                <w:szCs w:val="20"/>
                <w:lang w:eastAsia="en-AU"/>
              </w:rPr>
            </w:pPr>
            <w:r w:rsidRPr="00DD193F">
              <w:rPr>
                <w:rFonts w:ascii="Arial" w:eastAsia="Times New Roman" w:hAnsi="Arial" w:cs="Arial"/>
                <w:b/>
                <w:sz w:val="20"/>
                <w:szCs w:val="20"/>
                <w:lang w:eastAsia="en-AU"/>
              </w:rPr>
              <w:t>AMOUNT EXPENDED</w:t>
            </w:r>
          </w:p>
        </w:tc>
      </w:tr>
      <w:tr w:rsidR="00ED16E8" w:rsidRPr="00DD193F" w14:paraId="4FB82CF6" w14:textId="77777777" w:rsidTr="00B9549D">
        <w:tc>
          <w:tcPr>
            <w:tcW w:w="3205" w:type="dxa"/>
          </w:tcPr>
          <w:p w14:paraId="6590890D" w14:textId="77777777" w:rsidR="00ED16E8" w:rsidRPr="00DD193F" w:rsidRDefault="00ED16E8" w:rsidP="00B9549D">
            <w:pPr>
              <w:spacing w:line="360" w:lineRule="auto"/>
              <w:jc w:val="both"/>
              <w:rPr>
                <w:rFonts w:ascii="Arial" w:eastAsia="Times New Roman" w:hAnsi="Arial" w:cs="Arial"/>
                <w:sz w:val="20"/>
                <w:szCs w:val="20"/>
                <w:lang w:eastAsia="en-AU"/>
              </w:rPr>
            </w:pPr>
            <w:r w:rsidRPr="00DD193F">
              <w:rPr>
                <w:rFonts w:ascii="Arial" w:eastAsia="Times New Roman" w:hAnsi="Arial" w:cs="Arial"/>
                <w:sz w:val="20"/>
                <w:szCs w:val="20"/>
                <w:lang w:eastAsia="en-AU"/>
              </w:rPr>
              <w:t>Personnel</w:t>
            </w:r>
          </w:p>
        </w:tc>
        <w:tc>
          <w:tcPr>
            <w:tcW w:w="5811" w:type="dxa"/>
          </w:tcPr>
          <w:p w14:paraId="74E6A796" w14:textId="77777777" w:rsidR="00ED16E8" w:rsidRPr="00DD193F" w:rsidRDefault="00ED16E8" w:rsidP="00B9549D">
            <w:pPr>
              <w:spacing w:line="360" w:lineRule="auto"/>
              <w:jc w:val="both"/>
              <w:rPr>
                <w:rFonts w:ascii="Arial" w:eastAsia="Times New Roman" w:hAnsi="Arial" w:cs="Arial"/>
                <w:sz w:val="20"/>
                <w:szCs w:val="20"/>
                <w:lang w:eastAsia="en-AU"/>
              </w:rPr>
            </w:pPr>
          </w:p>
        </w:tc>
      </w:tr>
      <w:tr w:rsidR="00ED16E8" w:rsidRPr="00DD193F" w14:paraId="6BD96BBE" w14:textId="77777777" w:rsidTr="00B9549D">
        <w:tc>
          <w:tcPr>
            <w:tcW w:w="3205" w:type="dxa"/>
          </w:tcPr>
          <w:p w14:paraId="67A1C2CA" w14:textId="77777777" w:rsidR="00ED16E8" w:rsidRPr="00DD193F" w:rsidRDefault="00ED16E8" w:rsidP="00B9549D">
            <w:pPr>
              <w:spacing w:line="360" w:lineRule="auto"/>
              <w:jc w:val="both"/>
              <w:rPr>
                <w:rFonts w:ascii="Arial" w:eastAsia="Times New Roman" w:hAnsi="Arial" w:cs="Arial"/>
                <w:sz w:val="20"/>
                <w:szCs w:val="20"/>
                <w:lang w:eastAsia="en-AU"/>
              </w:rPr>
            </w:pPr>
            <w:r w:rsidRPr="00DD193F">
              <w:rPr>
                <w:rFonts w:ascii="Arial" w:eastAsia="Times New Roman" w:hAnsi="Arial" w:cs="Arial"/>
                <w:sz w:val="20"/>
                <w:szCs w:val="20"/>
                <w:lang w:eastAsia="en-AU"/>
              </w:rPr>
              <w:t>Travel</w:t>
            </w:r>
          </w:p>
        </w:tc>
        <w:tc>
          <w:tcPr>
            <w:tcW w:w="5811" w:type="dxa"/>
          </w:tcPr>
          <w:p w14:paraId="43BAAF07" w14:textId="77777777" w:rsidR="00ED16E8" w:rsidRPr="00DD193F" w:rsidRDefault="00ED16E8" w:rsidP="00B9549D">
            <w:pPr>
              <w:spacing w:line="360" w:lineRule="auto"/>
              <w:jc w:val="both"/>
              <w:rPr>
                <w:rFonts w:ascii="Arial" w:eastAsia="Times New Roman" w:hAnsi="Arial" w:cs="Arial"/>
                <w:sz w:val="20"/>
                <w:szCs w:val="20"/>
                <w:lang w:eastAsia="en-AU"/>
              </w:rPr>
            </w:pPr>
          </w:p>
        </w:tc>
      </w:tr>
      <w:tr w:rsidR="00ED16E8" w:rsidRPr="00DD193F" w14:paraId="23C6259D" w14:textId="77777777" w:rsidTr="00B9549D">
        <w:tc>
          <w:tcPr>
            <w:tcW w:w="3205" w:type="dxa"/>
          </w:tcPr>
          <w:p w14:paraId="0F074DD0" w14:textId="77777777" w:rsidR="00ED16E8" w:rsidRPr="00DD193F" w:rsidRDefault="00ED16E8" w:rsidP="00B9549D">
            <w:pPr>
              <w:spacing w:line="360" w:lineRule="auto"/>
              <w:jc w:val="both"/>
              <w:rPr>
                <w:rFonts w:ascii="Arial" w:eastAsia="Times New Roman" w:hAnsi="Arial" w:cs="Arial"/>
                <w:sz w:val="20"/>
                <w:szCs w:val="20"/>
                <w:lang w:eastAsia="en-AU"/>
              </w:rPr>
            </w:pPr>
            <w:r w:rsidRPr="00DD193F">
              <w:rPr>
                <w:rFonts w:ascii="Arial" w:eastAsia="Times New Roman" w:hAnsi="Arial" w:cs="Arial"/>
                <w:sz w:val="20"/>
                <w:szCs w:val="20"/>
                <w:lang w:eastAsia="en-AU"/>
              </w:rPr>
              <w:t>Running expenses</w:t>
            </w:r>
          </w:p>
        </w:tc>
        <w:tc>
          <w:tcPr>
            <w:tcW w:w="5811" w:type="dxa"/>
          </w:tcPr>
          <w:p w14:paraId="2640ECB8" w14:textId="77777777" w:rsidR="00ED16E8" w:rsidRPr="00DD193F" w:rsidRDefault="00ED16E8" w:rsidP="00B9549D">
            <w:pPr>
              <w:spacing w:line="360" w:lineRule="auto"/>
              <w:jc w:val="both"/>
              <w:rPr>
                <w:rFonts w:ascii="Arial" w:eastAsia="Times New Roman" w:hAnsi="Arial" w:cs="Arial"/>
                <w:sz w:val="20"/>
                <w:szCs w:val="20"/>
                <w:lang w:eastAsia="en-AU"/>
              </w:rPr>
            </w:pPr>
          </w:p>
        </w:tc>
      </w:tr>
      <w:tr w:rsidR="00ED16E8" w:rsidRPr="00DD193F" w14:paraId="0DD8E6B5" w14:textId="77777777" w:rsidTr="00B9549D">
        <w:tc>
          <w:tcPr>
            <w:tcW w:w="3205" w:type="dxa"/>
          </w:tcPr>
          <w:p w14:paraId="039DB88D" w14:textId="77777777" w:rsidR="00ED16E8" w:rsidRPr="00DD193F" w:rsidRDefault="00ED16E8" w:rsidP="00B9549D">
            <w:pPr>
              <w:spacing w:line="360" w:lineRule="auto"/>
              <w:jc w:val="both"/>
              <w:rPr>
                <w:rFonts w:ascii="Arial" w:eastAsia="Times New Roman" w:hAnsi="Arial" w:cs="Arial"/>
                <w:sz w:val="20"/>
                <w:szCs w:val="20"/>
                <w:lang w:eastAsia="en-AU"/>
              </w:rPr>
            </w:pPr>
            <w:r w:rsidRPr="00DD193F">
              <w:rPr>
                <w:rFonts w:ascii="Arial" w:eastAsia="Times New Roman" w:hAnsi="Arial" w:cs="Arial"/>
                <w:sz w:val="20"/>
                <w:szCs w:val="20"/>
                <w:lang w:eastAsia="en-AU"/>
              </w:rPr>
              <w:t>Other</w:t>
            </w:r>
          </w:p>
        </w:tc>
        <w:tc>
          <w:tcPr>
            <w:tcW w:w="5811" w:type="dxa"/>
          </w:tcPr>
          <w:p w14:paraId="54BDBBC2" w14:textId="77777777" w:rsidR="00ED16E8" w:rsidRPr="00DD193F" w:rsidRDefault="00ED16E8" w:rsidP="00B9549D">
            <w:pPr>
              <w:spacing w:line="360" w:lineRule="auto"/>
              <w:jc w:val="both"/>
              <w:rPr>
                <w:rFonts w:ascii="Arial" w:eastAsia="Times New Roman" w:hAnsi="Arial" w:cs="Arial"/>
                <w:sz w:val="20"/>
                <w:szCs w:val="20"/>
                <w:lang w:eastAsia="en-AU"/>
              </w:rPr>
            </w:pPr>
          </w:p>
        </w:tc>
      </w:tr>
      <w:tr w:rsidR="00ED16E8" w:rsidRPr="00DD193F" w14:paraId="0BD36B02" w14:textId="77777777" w:rsidTr="00B9549D">
        <w:tc>
          <w:tcPr>
            <w:tcW w:w="3205" w:type="dxa"/>
          </w:tcPr>
          <w:p w14:paraId="55177070" w14:textId="77777777" w:rsidR="00ED16E8" w:rsidRPr="00DD193F" w:rsidRDefault="00ED16E8" w:rsidP="00B9549D">
            <w:pPr>
              <w:spacing w:line="360" w:lineRule="auto"/>
              <w:jc w:val="both"/>
              <w:rPr>
                <w:rFonts w:ascii="Arial" w:eastAsia="Times New Roman" w:hAnsi="Arial" w:cs="Arial"/>
                <w:b/>
                <w:sz w:val="20"/>
                <w:szCs w:val="20"/>
                <w:lang w:eastAsia="en-AU"/>
              </w:rPr>
            </w:pPr>
            <w:r w:rsidRPr="00DD193F">
              <w:rPr>
                <w:rFonts w:ascii="Arial" w:eastAsia="Times New Roman" w:hAnsi="Arial" w:cs="Arial"/>
                <w:b/>
                <w:sz w:val="20"/>
                <w:szCs w:val="20"/>
                <w:lang w:eastAsia="en-AU"/>
              </w:rPr>
              <w:t>TOTAL</w:t>
            </w:r>
          </w:p>
        </w:tc>
        <w:tc>
          <w:tcPr>
            <w:tcW w:w="5811" w:type="dxa"/>
          </w:tcPr>
          <w:p w14:paraId="7F416BD9" w14:textId="77777777" w:rsidR="00ED16E8" w:rsidRPr="00DD193F" w:rsidRDefault="00ED16E8" w:rsidP="00B9549D">
            <w:pPr>
              <w:spacing w:line="360" w:lineRule="auto"/>
              <w:jc w:val="both"/>
              <w:rPr>
                <w:rFonts w:ascii="Arial" w:eastAsia="Times New Roman" w:hAnsi="Arial" w:cs="Arial"/>
                <w:sz w:val="20"/>
                <w:szCs w:val="20"/>
                <w:lang w:eastAsia="en-AU"/>
              </w:rPr>
            </w:pPr>
          </w:p>
        </w:tc>
      </w:tr>
    </w:tbl>
    <w:p w14:paraId="48BCD2EA" w14:textId="77777777" w:rsidR="00ED16E8" w:rsidRDefault="00ED16E8" w:rsidP="00ED16E8">
      <w:pPr>
        <w:rPr>
          <w:rFonts w:ascii="Arial" w:eastAsia="Times New Roman" w:hAnsi="Arial" w:cs="Arial"/>
          <w:b/>
          <w:sz w:val="20"/>
          <w:szCs w:val="20"/>
          <w:lang w:eastAsia="en-AU"/>
        </w:rPr>
      </w:pPr>
    </w:p>
    <w:p w14:paraId="0EF434C6" w14:textId="77777777" w:rsidR="00ED16E8" w:rsidRPr="00DD193F" w:rsidRDefault="00ED16E8" w:rsidP="00ED16E8">
      <w:pPr>
        <w:rPr>
          <w:rFonts w:ascii="Arial" w:eastAsia="Times New Roman" w:hAnsi="Arial" w:cs="Arial"/>
          <w:b/>
          <w:sz w:val="20"/>
          <w:szCs w:val="20"/>
          <w:lang w:eastAsia="en-AU"/>
        </w:rPr>
      </w:pPr>
      <w:r w:rsidRPr="00DD193F">
        <w:rPr>
          <w:rFonts w:ascii="Arial" w:eastAsia="Times New Roman" w:hAnsi="Arial" w:cs="Arial"/>
          <w:b/>
          <w:sz w:val="20"/>
          <w:szCs w:val="20"/>
          <w:lang w:eastAsia="en-AU"/>
        </w:rPr>
        <w:t>Have all claims been expended against this account so that it can be closed?</w:t>
      </w:r>
    </w:p>
    <w:p w14:paraId="49995AA2" w14:textId="77777777" w:rsidR="00ED16E8" w:rsidRPr="00DD193F" w:rsidRDefault="00ED16E8" w:rsidP="00ED16E8">
      <w:pPr>
        <w:rPr>
          <w:rFonts w:ascii="Arial" w:eastAsia="Times New Roman" w:hAnsi="Arial" w:cs="Arial"/>
          <w:b/>
          <w:sz w:val="20"/>
          <w:szCs w:val="20"/>
          <w:lang w:eastAsia="en-AU"/>
        </w:rPr>
      </w:pPr>
    </w:p>
    <w:p w14:paraId="1B36D65D" w14:textId="77777777" w:rsidR="00ED16E8" w:rsidRPr="00DD193F" w:rsidRDefault="00ED16E8" w:rsidP="00ED16E8">
      <w:pPr>
        <w:rPr>
          <w:rFonts w:ascii="Arial" w:eastAsia="Times New Roman" w:hAnsi="Arial" w:cs="Arial"/>
          <w:b/>
          <w:sz w:val="20"/>
          <w:szCs w:val="20"/>
          <w:lang w:eastAsia="en-AU"/>
        </w:rPr>
      </w:pPr>
      <w:r>
        <w:rPr>
          <w:rFonts w:ascii="Arial" w:eastAsia="Times New Roman" w:hAnsi="Arial" w:cs="Arial"/>
          <w:b/>
          <w:noProof/>
          <w:sz w:val="20"/>
          <w:szCs w:val="20"/>
          <w:lang w:eastAsia="zh-CN"/>
        </w:rPr>
        <mc:AlternateContent>
          <mc:Choice Requires="wps">
            <w:drawing>
              <wp:anchor distT="0" distB="0" distL="114300" distR="114300" simplePos="0" relativeHeight="251661312" behindDoc="0" locked="0" layoutInCell="1" allowOverlap="1" wp14:anchorId="7244C15B" wp14:editId="52BAAD27">
                <wp:simplePos x="0" y="0"/>
                <wp:positionH relativeFrom="column">
                  <wp:posOffset>2286000</wp:posOffset>
                </wp:positionH>
                <wp:positionV relativeFrom="paragraph">
                  <wp:posOffset>19050</wp:posOffset>
                </wp:positionV>
                <wp:extent cx="114300" cy="114300"/>
                <wp:effectExtent l="5080" t="9525" r="13970" b="9525"/>
                <wp:wrapNone/>
                <wp:docPr id="994" name="Rectangle 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c="http://schemas.openxmlformats.org/drawingml/2006/chart" xmlns:a16="http://schemas.microsoft.com/office/drawing/2014/main" xmlns:w16du="http://schemas.microsoft.com/office/word/2023/wordml/word16du">
            <w:pict w14:anchorId="201B92D5">
              <v:rect id="Rectangle 994" style="position:absolute;margin-left:180pt;margin-top:1.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409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"/>
            </w:pict>
          </mc:Fallback>
        </mc:AlternateContent>
      </w:r>
      <w:r>
        <w:rPr>
          <w:rFonts w:ascii="Arial" w:eastAsia="Times New Roman" w:hAnsi="Arial" w:cs="Arial"/>
          <w:b/>
          <w:noProof/>
          <w:sz w:val="20"/>
          <w:szCs w:val="20"/>
          <w:lang w:eastAsia="zh-CN"/>
        </w:rPr>
        <mc:AlternateContent>
          <mc:Choice Requires="wps">
            <w:drawing>
              <wp:anchor distT="0" distB="0" distL="114300" distR="114300" simplePos="0" relativeHeight="251660288" behindDoc="0" locked="0" layoutInCell="1" allowOverlap="1" wp14:anchorId="5E919CFD" wp14:editId="64650C19">
                <wp:simplePos x="0" y="0"/>
                <wp:positionH relativeFrom="column">
                  <wp:posOffset>914400</wp:posOffset>
                </wp:positionH>
                <wp:positionV relativeFrom="paragraph">
                  <wp:posOffset>19050</wp:posOffset>
                </wp:positionV>
                <wp:extent cx="114300" cy="114300"/>
                <wp:effectExtent l="0" t="0" r="12700" b="12700"/>
                <wp:wrapNone/>
                <wp:docPr id="993" name="Rectangle 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2497897" id="Rectangle 993" o:spid="_x0000_s1026" style="position:absolute;margin-left:1in;margin-top:1.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" fillcolor="black [3213]"/>
            </w:pict>
          </mc:Fallback>
        </mc:AlternateContent>
      </w:r>
      <w:r w:rsidRPr="00DD193F">
        <w:rPr>
          <w:rFonts w:ascii="Arial" w:eastAsia="Times New Roman" w:hAnsi="Arial" w:cs="Arial"/>
          <w:b/>
          <w:sz w:val="20"/>
          <w:szCs w:val="20"/>
          <w:lang w:eastAsia="en-AU"/>
        </w:rPr>
        <w:t xml:space="preserve">Yes  </w:t>
      </w:r>
      <w:r w:rsidRPr="00DD193F">
        <w:rPr>
          <w:rFonts w:ascii="Arial" w:eastAsia="Times New Roman" w:hAnsi="Arial" w:cs="Arial"/>
          <w:b/>
          <w:sz w:val="20"/>
          <w:szCs w:val="20"/>
          <w:lang w:eastAsia="en-AU"/>
        </w:rPr>
        <w:tab/>
      </w:r>
      <w:r w:rsidRPr="00DD193F">
        <w:rPr>
          <w:rFonts w:ascii="Arial" w:eastAsia="Times New Roman" w:hAnsi="Arial" w:cs="Arial"/>
          <w:b/>
          <w:sz w:val="20"/>
          <w:szCs w:val="20"/>
          <w:lang w:eastAsia="en-AU"/>
        </w:rPr>
        <w:tab/>
      </w:r>
      <w:r w:rsidRPr="00DD193F">
        <w:rPr>
          <w:rFonts w:ascii="Arial" w:eastAsia="Times New Roman" w:hAnsi="Arial" w:cs="Arial"/>
          <w:b/>
          <w:sz w:val="20"/>
          <w:szCs w:val="20"/>
          <w:lang w:eastAsia="en-AU"/>
        </w:rPr>
        <w:tab/>
        <w:t xml:space="preserve">  No</w:t>
      </w:r>
    </w:p>
    <w:p w14:paraId="21CA7BA3" w14:textId="77777777" w:rsidR="00ED16E8" w:rsidRDefault="00ED16E8" w:rsidP="00ED16E8"/>
    <w:p w14:paraId="6C25B7E3" w14:textId="357F8D29" w:rsidR="00662126" w:rsidRDefault="00662126">
      <w:r>
        <w:br w:type="page"/>
      </w:r>
    </w:p>
    <w:p w14:paraId="62D0B9E6" w14:textId="3D4B0C7A" w:rsidR="003B161E" w:rsidRDefault="0094197B">
      <w:r>
        <w:lastRenderedPageBreak/>
        <w:t>Annex</w:t>
      </w:r>
      <w:r w:rsidR="003B161E">
        <w:t xml:space="preserve"> 1</w:t>
      </w:r>
      <w:r w:rsidR="00190314">
        <w:t xml:space="preserve">: </w:t>
      </w:r>
      <w:r w:rsidR="00155EFB">
        <w:t>Snapshot of d</w:t>
      </w:r>
      <w:r w:rsidR="00190314">
        <w:t xml:space="preserve">ashboard </w:t>
      </w:r>
      <w:r w:rsidR="00155EFB">
        <w:t xml:space="preserve">of Tzu Chi Dental </w:t>
      </w:r>
    </w:p>
    <w:p w14:paraId="1569837B" w14:textId="77777777" w:rsidR="003B161E" w:rsidRDefault="003B161E"/>
    <w:p w14:paraId="0FB30995" w14:textId="237633B1" w:rsidR="003F3C78" w:rsidRDefault="003B161E">
      <w:r>
        <w:rPr>
          <w:noProof/>
          <w:lang w:eastAsia="zh-CN"/>
        </w:rPr>
        <w:drawing>
          <wp:inline distT="0" distB="0" distL="0" distR="0" wp14:anchorId="08A9CC2B" wp14:editId="250C31FA">
            <wp:extent cx="5731510" cy="3444240"/>
            <wp:effectExtent l="0" t="0" r="254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444240"/>
                    </a:xfrm>
                    <a:prstGeom prst="rect">
                      <a:avLst/>
                    </a:prstGeom>
                  </pic:spPr>
                </pic:pic>
              </a:graphicData>
            </a:graphic>
          </wp:inline>
        </w:drawing>
      </w:r>
      <w:r w:rsidR="003F3C78">
        <w:br w:type="page"/>
      </w:r>
    </w:p>
    <w:p w14:paraId="75AA1092" w14:textId="7BAAB89F" w:rsidR="003F3C78" w:rsidRDefault="0094197B" w:rsidP="003F3C78">
      <w:r>
        <w:lastRenderedPageBreak/>
        <w:t xml:space="preserve">Annex 2: Descriptive </w:t>
      </w:r>
      <w:r w:rsidR="007A0AF2">
        <w:t>statistic</w:t>
      </w:r>
    </w:p>
    <w:p w14:paraId="7E9EEED2" w14:textId="77777777" w:rsidR="0094197B" w:rsidRDefault="0094197B" w:rsidP="003F3C78"/>
    <w:p w14:paraId="6283500D" w14:textId="77777777" w:rsidR="003F3C78" w:rsidRPr="00887344" w:rsidRDefault="003F3C78" w:rsidP="003F3C78">
      <w:pPr>
        <w:pStyle w:val="ListParagraph"/>
        <w:numPr>
          <w:ilvl w:val="0"/>
          <w:numId w:val="12"/>
        </w:numPr>
        <w:rPr>
          <w:b/>
          <w:bCs/>
        </w:rPr>
      </w:pPr>
      <w:r w:rsidRPr="00887344">
        <w:rPr>
          <w:b/>
          <w:bCs/>
          <w:lang w:val="en-US" w:eastAsia="zh-TW"/>
        </w:rPr>
        <w:t>Sex assigned at birth</w:t>
      </w:r>
    </w:p>
    <w:p w14:paraId="62A2E208" w14:textId="77777777" w:rsidR="003F3C78" w:rsidRDefault="003F3C78" w:rsidP="003F3C78"/>
    <w:p w14:paraId="1DC6288C" w14:textId="77777777" w:rsidR="003F3C78" w:rsidRDefault="003F3C78" w:rsidP="003F3C78">
      <w:r>
        <w:rPr>
          <w:noProof/>
          <w:lang w:eastAsia="zh-CN"/>
        </w:rPr>
        <w:drawing>
          <wp:inline distT="0" distB="0" distL="0" distR="0" wp14:anchorId="35F9A8C6" wp14:editId="45CC720C">
            <wp:extent cx="5731510" cy="3081655"/>
            <wp:effectExtent l="0" t="0" r="8890" b="17145"/>
            <wp:docPr id="1" name="Chart 1">
              <a:extLst xmlns:a="http://schemas.openxmlformats.org/drawingml/2006/main">
                <a:ext uri="{FF2B5EF4-FFF2-40B4-BE49-F238E27FC236}">
                  <a16:creationId xmlns:a16="http://schemas.microsoft.com/office/drawing/2014/main" id="{17DC8C5B-2563-2850-573F-78889E6B6F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0E3BF4" w14:textId="77777777" w:rsidR="003F3C78" w:rsidRDefault="003F3C78" w:rsidP="003F3C78"/>
    <w:p w14:paraId="7B1EE936" w14:textId="77777777" w:rsidR="003F3C78" w:rsidRDefault="003F3C78" w:rsidP="003F3C78">
      <w:r>
        <w:rPr>
          <w:noProof/>
          <w:lang w:eastAsia="zh-CN"/>
        </w:rPr>
        <w:drawing>
          <wp:inline distT="0" distB="0" distL="0" distR="0" wp14:anchorId="4F400017" wp14:editId="65504201">
            <wp:extent cx="5731510" cy="2896235"/>
            <wp:effectExtent l="0" t="0" r="8890" b="12065"/>
            <wp:docPr id="7" name="Chart 7">
              <a:extLst xmlns:a="http://schemas.openxmlformats.org/drawingml/2006/main">
                <a:ext uri="{FF2B5EF4-FFF2-40B4-BE49-F238E27FC236}">
                  <a16:creationId xmlns:a16="http://schemas.microsoft.com/office/drawing/2014/main" id="{36F78B28-58B7-B688-111F-4AC9ACF556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E5BA32" w14:textId="77777777" w:rsidR="003F3C78" w:rsidRDefault="003F3C78" w:rsidP="003F3C78"/>
    <w:p w14:paraId="6724FA7C" w14:textId="77777777" w:rsidR="003F3C78" w:rsidRDefault="003F3C78" w:rsidP="003F3C78">
      <w:pPr>
        <w:pStyle w:val="ListParagraph"/>
        <w:numPr>
          <w:ilvl w:val="0"/>
          <w:numId w:val="11"/>
        </w:numPr>
      </w:pPr>
      <w:r>
        <w:t xml:space="preserve">Total of n=2810 received treatment in (n=?) dental fairs between 2004 to 2019  </w:t>
      </w:r>
    </w:p>
    <w:p w14:paraId="10AA5DA9" w14:textId="77777777" w:rsidR="003F3C78" w:rsidRDefault="003F3C78" w:rsidP="003F3C78">
      <w:pPr>
        <w:pStyle w:val="ListParagraph"/>
        <w:numPr>
          <w:ilvl w:val="0"/>
          <w:numId w:val="11"/>
        </w:numPr>
      </w:pPr>
      <w:r>
        <w:t xml:space="preserve">Just over 15% have no sex data recorded in the dataset   </w:t>
      </w:r>
    </w:p>
    <w:p w14:paraId="72D7E479" w14:textId="77777777" w:rsidR="003F3C78" w:rsidRDefault="003F3C78" w:rsidP="003F3C78">
      <w:pPr>
        <w:pStyle w:val="ListParagraph"/>
        <w:numPr>
          <w:ilvl w:val="0"/>
          <w:numId w:val="11"/>
        </w:numPr>
      </w:pPr>
      <w:r>
        <w:t xml:space="preserve">male (44%) is slightly more than female (40%) </w:t>
      </w:r>
    </w:p>
    <w:p w14:paraId="5F64EC1E" w14:textId="77777777" w:rsidR="003F3C78" w:rsidRDefault="003F3C78" w:rsidP="003F3C78">
      <w:pPr>
        <w:pStyle w:val="ListParagraph"/>
        <w:numPr>
          <w:ilvl w:val="0"/>
          <w:numId w:val="11"/>
        </w:numPr>
      </w:pPr>
      <w:r>
        <w:t>trends / ratio changes across age groups, fewer male in the age above 70</w:t>
      </w:r>
    </w:p>
    <w:p w14:paraId="3DC325F9" w14:textId="77777777" w:rsidR="003F3C78" w:rsidRDefault="003F3C78" w:rsidP="003F3C78">
      <w:pPr>
        <w:pStyle w:val="ListParagraph"/>
        <w:numPr>
          <w:ilvl w:val="0"/>
          <w:numId w:val="11"/>
        </w:numPr>
      </w:pPr>
      <w:r>
        <w:t xml:space="preserve">trends and ratio changes throughout the years? </w:t>
      </w:r>
    </w:p>
    <w:p w14:paraId="02948A97" w14:textId="77777777" w:rsidR="003F3C78" w:rsidRDefault="003F3C78" w:rsidP="003F3C78"/>
    <w:p w14:paraId="17958120" w14:textId="77777777" w:rsidR="003F3C78" w:rsidRDefault="003F3C78" w:rsidP="003F3C78"/>
    <w:p w14:paraId="5D8759EE" w14:textId="77777777" w:rsidR="003F3C78" w:rsidRPr="00E73AAF" w:rsidRDefault="003F3C78" w:rsidP="003F3C78">
      <w:pPr>
        <w:pStyle w:val="ListParagraph"/>
        <w:numPr>
          <w:ilvl w:val="0"/>
          <w:numId w:val="12"/>
        </w:numPr>
        <w:rPr>
          <w:b/>
          <w:bCs/>
          <w:lang w:val="en-US" w:eastAsia="zh-TW"/>
        </w:rPr>
      </w:pPr>
      <w:r w:rsidRPr="00E73AAF">
        <w:rPr>
          <w:b/>
          <w:bCs/>
          <w:lang w:val="en-US" w:eastAsia="zh-TW"/>
        </w:rPr>
        <w:t>Age</w:t>
      </w:r>
      <w:r>
        <w:rPr>
          <w:b/>
          <w:bCs/>
          <w:lang w:val="en-US" w:eastAsia="zh-TW"/>
        </w:rPr>
        <w:t xml:space="preserve"> at treatment </w:t>
      </w:r>
    </w:p>
    <w:p w14:paraId="2C91DDDF" w14:textId="77777777" w:rsidR="003F3C78" w:rsidRDefault="003F3C78" w:rsidP="003F3C78">
      <w:pPr>
        <w:rPr>
          <w:lang w:val="en-US" w:eastAsia="zh-TW"/>
        </w:rPr>
      </w:pPr>
    </w:p>
    <w:p w14:paraId="72F988C1" w14:textId="77777777" w:rsidR="003F3C78" w:rsidRDefault="003F3C78" w:rsidP="003F3C78">
      <w:pPr>
        <w:rPr>
          <w:lang w:val="en-US" w:eastAsia="zh-TW"/>
        </w:rPr>
      </w:pPr>
      <w:r>
        <w:rPr>
          <w:noProof/>
          <w:lang w:eastAsia="zh-CN"/>
        </w:rPr>
        <w:lastRenderedPageBreak/>
        <w:drawing>
          <wp:inline distT="0" distB="0" distL="0" distR="0" wp14:anchorId="5300FD6C" wp14:editId="68070900">
            <wp:extent cx="5731510" cy="3126105"/>
            <wp:effectExtent l="0" t="0" r="8890" b="10795"/>
            <wp:docPr id="2" name="Chart 2">
              <a:extLst xmlns:a="http://schemas.openxmlformats.org/drawingml/2006/main">
                <a:ext uri="{FF2B5EF4-FFF2-40B4-BE49-F238E27FC236}">
                  <a16:creationId xmlns:a16="http://schemas.microsoft.com/office/drawing/2014/main" id="{B9D12332-20A4-5486-3243-AAE2CCF20A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003EA9" w14:textId="77777777" w:rsidR="003F3C78" w:rsidRDefault="003F3C78" w:rsidP="003F3C78">
      <w:pPr>
        <w:rPr>
          <w:lang w:val="en-US" w:eastAsia="zh-TW"/>
        </w:rPr>
      </w:pPr>
    </w:p>
    <w:p w14:paraId="2670BEA0" w14:textId="77777777" w:rsidR="003F3C78" w:rsidRDefault="003F3C78" w:rsidP="003F3C78">
      <w:pPr>
        <w:rPr>
          <w:lang w:val="en-US" w:eastAsia="zh-TW"/>
        </w:rPr>
      </w:pPr>
      <w:r>
        <w:rPr>
          <w:noProof/>
          <w:lang w:eastAsia="zh-CN"/>
        </w:rPr>
        <w:drawing>
          <wp:inline distT="0" distB="0" distL="0" distR="0" wp14:anchorId="70F12CFF" wp14:editId="6F583755">
            <wp:extent cx="5731510" cy="2896235"/>
            <wp:effectExtent l="0" t="0" r="8890" b="12065"/>
            <wp:docPr id="3" name="Chart 3">
              <a:extLst xmlns:a="http://schemas.openxmlformats.org/drawingml/2006/main">
                <a:ext uri="{FF2B5EF4-FFF2-40B4-BE49-F238E27FC236}">
                  <a16:creationId xmlns:a16="http://schemas.microsoft.com/office/drawing/2014/main" id="{36F78B28-58B7-B688-111F-4AC9ACF556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4DC2D0" w14:textId="77777777" w:rsidR="003F3C78" w:rsidRDefault="003F3C78" w:rsidP="003F3C78">
      <w:pPr>
        <w:rPr>
          <w:lang w:val="en-US" w:eastAsia="zh-TW"/>
        </w:rPr>
      </w:pPr>
    </w:p>
    <w:p w14:paraId="1837725E" w14:textId="77777777" w:rsidR="003F3C78" w:rsidRDefault="003F3C78" w:rsidP="003F3C78">
      <w:pPr>
        <w:rPr>
          <w:lang w:val="en-US" w:eastAsia="zh-TW"/>
        </w:rPr>
      </w:pPr>
      <w:r>
        <w:rPr>
          <w:noProof/>
          <w:lang w:eastAsia="zh-CN"/>
        </w:rPr>
        <w:lastRenderedPageBreak/>
        <w:drawing>
          <wp:inline distT="0" distB="0" distL="0" distR="0" wp14:anchorId="264FAC18" wp14:editId="5989E411">
            <wp:extent cx="5731510" cy="3248660"/>
            <wp:effectExtent l="0" t="0" r="8890" b="15240"/>
            <wp:docPr id="4" name="Chart 4">
              <a:extLst xmlns:a="http://schemas.openxmlformats.org/drawingml/2006/main">
                <a:ext uri="{FF2B5EF4-FFF2-40B4-BE49-F238E27FC236}">
                  <a16:creationId xmlns:a16="http://schemas.microsoft.com/office/drawing/2014/main" id="{D572899A-C841-A23C-19FE-447780C9A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2B3A98" w14:textId="77777777" w:rsidR="003F3C78" w:rsidRDefault="003F3C78" w:rsidP="003F3C78">
      <w:pPr>
        <w:rPr>
          <w:lang w:val="en-US" w:eastAsia="zh-TW"/>
        </w:rPr>
      </w:pPr>
    </w:p>
    <w:p w14:paraId="6F73A6C4" w14:textId="77777777" w:rsidR="003F3C78" w:rsidRPr="002E7A0C" w:rsidRDefault="003F3C78" w:rsidP="003F3C78">
      <w:pPr>
        <w:pStyle w:val="ListParagraph"/>
        <w:numPr>
          <w:ilvl w:val="0"/>
          <w:numId w:val="13"/>
        </w:numPr>
        <w:rPr>
          <w:lang w:val="en-US" w:eastAsia="zh-TW"/>
        </w:rPr>
      </w:pPr>
      <w:r>
        <w:rPr>
          <w:lang w:val="en-US" w:eastAsia="zh-TW"/>
        </w:rPr>
        <w:t>The graph showed unimodal with a mode of 20-24 and age distribution is slightly left skewed.</w:t>
      </w:r>
    </w:p>
    <w:p w14:paraId="00F360BD" w14:textId="51367204" w:rsidR="003F3C78" w:rsidRPr="002E7A0C" w:rsidRDefault="003F3C78" w:rsidP="003F3C78">
      <w:pPr>
        <w:pStyle w:val="ListParagraph"/>
        <w:numPr>
          <w:ilvl w:val="0"/>
          <w:numId w:val="13"/>
        </w:numPr>
        <w:rPr>
          <w:lang w:val="en-US" w:eastAsia="zh-TW"/>
        </w:rPr>
      </w:pPr>
      <w:r>
        <w:rPr>
          <w:lang w:val="en-US" w:eastAsia="zh-TW"/>
        </w:rPr>
        <w:t>Similar trend</w:t>
      </w:r>
      <w:r w:rsidR="00541E94">
        <w:rPr>
          <w:lang w:val="en-US" w:eastAsia="zh-TW"/>
        </w:rPr>
        <w:t>s</w:t>
      </w:r>
      <w:r>
        <w:rPr>
          <w:lang w:val="en-US" w:eastAsia="zh-TW"/>
        </w:rPr>
        <w:t xml:space="preserve"> for both male and female</w:t>
      </w:r>
    </w:p>
    <w:p w14:paraId="13D2D162" w14:textId="77777777" w:rsidR="003F3C78" w:rsidRDefault="003F3C78" w:rsidP="003F3C78">
      <w:pPr>
        <w:rPr>
          <w:lang w:val="en-US" w:eastAsia="zh-TW"/>
        </w:rPr>
      </w:pPr>
    </w:p>
    <w:p w14:paraId="19B76237" w14:textId="77777777" w:rsidR="003F3C78" w:rsidRPr="00D60F92" w:rsidRDefault="003F3C78" w:rsidP="003F3C78">
      <w:pPr>
        <w:pStyle w:val="ListParagraph"/>
        <w:numPr>
          <w:ilvl w:val="0"/>
          <w:numId w:val="12"/>
        </w:numPr>
        <w:rPr>
          <w:b/>
          <w:bCs/>
        </w:rPr>
      </w:pPr>
      <w:r>
        <w:rPr>
          <w:b/>
          <w:bCs/>
          <w:lang w:val="en-US" w:eastAsia="zh-TW"/>
        </w:rPr>
        <w:t>English understanding</w:t>
      </w:r>
    </w:p>
    <w:p w14:paraId="2B3F8D25" w14:textId="77777777" w:rsidR="003F3C78" w:rsidRDefault="003F3C78" w:rsidP="003F3C78">
      <w:pPr>
        <w:rPr>
          <w:lang w:val="en-US" w:eastAsia="zh-TW"/>
        </w:rPr>
      </w:pPr>
    </w:p>
    <w:p w14:paraId="40168644" w14:textId="77777777" w:rsidR="003F3C78" w:rsidRDefault="003F3C78" w:rsidP="003F3C78">
      <w:pPr>
        <w:rPr>
          <w:lang w:val="en-US" w:eastAsia="zh-TW"/>
        </w:rPr>
      </w:pPr>
      <w:r>
        <w:rPr>
          <w:noProof/>
          <w:lang w:eastAsia="zh-CN"/>
        </w:rPr>
        <w:drawing>
          <wp:inline distT="0" distB="0" distL="0" distR="0" wp14:anchorId="19FF47BB" wp14:editId="716F8575">
            <wp:extent cx="5731510" cy="2960370"/>
            <wp:effectExtent l="0" t="0" r="8890" b="11430"/>
            <wp:docPr id="5" name="Chart 5">
              <a:extLst xmlns:a="http://schemas.openxmlformats.org/drawingml/2006/main">
                <a:ext uri="{FF2B5EF4-FFF2-40B4-BE49-F238E27FC236}">
                  <a16:creationId xmlns:a16="http://schemas.microsoft.com/office/drawing/2014/main" id="{FED062E2-4A20-BE5C-372F-F1A5C21DC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29BB47" w14:textId="77777777" w:rsidR="003F3C78" w:rsidRDefault="003F3C78" w:rsidP="003F3C78">
      <w:pPr>
        <w:rPr>
          <w:lang w:val="en-US" w:eastAsia="zh-TW"/>
        </w:rPr>
      </w:pPr>
    </w:p>
    <w:p w14:paraId="4B026969" w14:textId="77777777" w:rsidR="003F3C78" w:rsidRDefault="003F3C78" w:rsidP="003F3C78">
      <w:pPr>
        <w:rPr>
          <w:lang w:val="en-US" w:eastAsia="zh-TW"/>
        </w:rPr>
      </w:pPr>
    </w:p>
    <w:p w14:paraId="79572659" w14:textId="0BEB2A94" w:rsidR="001F2705" w:rsidRPr="00DC0364" w:rsidRDefault="001F2705">
      <w:pPr>
        <w:rPr>
          <w:b/>
          <w:bCs/>
          <w:lang w:val="en-US" w:eastAsia="zh-TW"/>
        </w:rPr>
      </w:pPr>
    </w:p>
    <w:sectPr w:rsidR="001F2705" w:rsidRPr="00DC0364" w:rsidSect="00790FBB">
      <w:pgSz w:w="11906" w:h="16838"/>
      <w:pgMar w:top="1440" w:right="1440" w:bottom="103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7985"/>
    <w:multiLevelType w:val="hybridMultilevel"/>
    <w:tmpl w:val="54D85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504643"/>
    <w:multiLevelType w:val="hybridMultilevel"/>
    <w:tmpl w:val="7A404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B30348"/>
    <w:multiLevelType w:val="hybridMultilevel"/>
    <w:tmpl w:val="2CE6D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2E748D"/>
    <w:multiLevelType w:val="hybridMultilevel"/>
    <w:tmpl w:val="5050A64C"/>
    <w:lvl w:ilvl="0" w:tplc="B134CA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C5A77"/>
    <w:multiLevelType w:val="hybridMultilevel"/>
    <w:tmpl w:val="89B46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7590E81"/>
    <w:multiLevelType w:val="hybridMultilevel"/>
    <w:tmpl w:val="B9CEA810"/>
    <w:lvl w:ilvl="0" w:tplc="900A40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07931"/>
    <w:multiLevelType w:val="hybridMultilevel"/>
    <w:tmpl w:val="D0C21916"/>
    <w:lvl w:ilvl="0" w:tplc="066EE4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E17698"/>
    <w:multiLevelType w:val="hybridMultilevel"/>
    <w:tmpl w:val="FC68D4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E3043DF"/>
    <w:multiLevelType w:val="hybridMultilevel"/>
    <w:tmpl w:val="587E5CAA"/>
    <w:lvl w:ilvl="0" w:tplc="64B294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F4EF1"/>
    <w:multiLevelType w:val="hybridMultilevel"/>
    <w:tmpl w:val="71E6250A"/>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3DB4044"/>
    <w:multiLevelType w:val="hybridMultilevel"/>
    <w:tmpl w:val="5AB42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8807A6"/>
    <w:multiLevelType w:val="hybridMultilevel"/>
    <w:tmpl w:val="25FEE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D436D2"/>
    <w:multiLevelType w:val="hybridMultilevel"/>
    <w:tmpl w:val="5EE04592"/>
    <w:lvl w:ilvl="0" w:tplc="027A5C1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2B5D5B"/>
    <w:multiLevelType w:val="hybridMultilevel"/>
    <w:tmpl w:val="8208FD26"/>
    <w:lvl w:ilvl="0" w:tplc="DA347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196447">
    <w:abstractNumId w:val="3"/>
  </w:num>
  <w:num w:numId="2" w16cid:durableId="1453287200">
    <w:abstractNumId w:val="13"/>
  </w:num>
  <w:num w:numId="3" w16cid:durableId="1698312413">
    <w:abstractNumId w:val="8"/>
  </w:num>
  <w:num w:numId="4" w16cid:durableId="393967055">
    <w:abstractNumId w:val="5"/>
  </w:num>
  <w:num w:numId="5" w16cid:durableId="1287853589">
    <w:abstractNumId w:val="12"/>
  </w:num>
  <w:num w:numId="6" w16cid:durableId="811754080">
    <w:abstractNumId w:val="6"/>
  </w:num>
  <w:num w:numId="7" w16cid:durableId="1628704323">
    <w:abstractNumId w:val="2"/>
  </w:num>
  <w:num w:numId="8" w16cid:durableId="389377744">
    <w:abstractNumId w:val="0"/>
  </w:num>
  <w:num w:numId="9" w16cid:durableId="1730879290">
    <w:abstractNumId w:val="4"/>
  </w:num>
  <w:num w:numId="10" w16cid:durableId="1135876561">
    <w:abstractNumId w:val="7"/>
  </w:num>
  <w:num w:numId="11" w16cid:durableId="2021854532">
    <w:abstractNumId w:val="10"/>
  </w:num>
  <w:num w:numId="12" w16cid:durableId="1934970262">
    <w:abstractNumId w:val="9"/>
  </w:num>
  <w:num w:numId="13" w16cid:durableId="1790658496">
    <w:abstractNumId w:val="11"/>
  </w:num>
  <w:num w:numId="14" w16cid:durableId="2059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6E8"/>
    <w:rsid w:val="000329D4"/>
    <w:rsid w:val="00085813"/>
    <w:rsid w:val="00090462"/>
    <w:rsid w:val="000AF337"/>
    <w:rsid w:val="000B2E71"/>
    <w:rsid w:val="00145B32"/>
    <w:rsid w:val="00155EFB"/>
    <w:rsid w:val="001651FD"/>
    <w:rsid w:val="00184772"/>
    <w:rsid w:val="00190314"/>
    <w:rsid w:val="001B39BA"/>
    <w:rsid w:val="001C1179"/>
    <w:rsid w:val="001F2705"/>
    <w:rsid w:val="00263069"/>
    <w:rsid w:val="002A2B6B"/>
    <w:rsid w:val="002A7DA8"/>
    <w:rsid w:val="002E0884"/>
    <w:rsid w:val="002F1B1D"/>
    <w:rsid w:val="003011B2"/>
    <w:rsid w:val="00305E1F"/>
    <w:rsid w:val="00366942"/>
    <w:rsid w:val="003B161E"/>
    <w:rsid w:val="003B1AA7"/>
    <w:rsid w:val="003E4095"/>
    <w:rsid w:val="003F3C78"/>
    <w:rsid w:val="0040795E"/>
    <w:rsid w:val="004927DE"/>
    <w:rsid w:val="00494B89"/>
    <w:rsid w:val="004B49C9"/>
    <w:rsid w:val="0052760E"/>
    <w:rsid w:val="00540B04"/>
    <w:rsid w:val="00541E94"/>
    <w:rsid w:val="00556D8F"/>
    <w:rsid w:val="005A6914"/>
    <w:rsid w:val="005D42B1"/>
    <w:rsid w:val="00612580"/>
    <w:rsid w:val="00662126"/>
    <w:rsid w:val="00692540"/>
    <w:rsid w:val="006B1BCE"/>
    <w:rsid w:val="006C0E67"/>
    <w:rsid w:val="006D4213"/>
    <w:rsid w:val="007015F8"/>
    <w:rsid w:val="00704D95"/>
    <w:rsid w:val="00790FBB"/>
    <w:rsid w:val="007A0AF2"/>
    <w:rsid w:val="007A1455"/>
    <w:rsid w:val="007A5C46"/>
    <w:rsid w:val="007C7E90"/>
    <w:rsid w:val="008159D8"/>
    <w:rsid w:val="008303B9"/>
    <w:rsid w:val="00831FE5"/>
    <w:rsid w:val="00866431"/>
    <w:rsid w:val="00866D5B"/>
    <w:rsid w:val="00875577"/>
    <w:rsid w:val="008A7D35"/>
    <w:rsid w:val="008B13CE"/>
    <w:rsid w:val="008E4BAC"/>
    <w:rsid w:val="00907BB2"/>
    <w:rsid w:val="00932965"/>
    <w:rsid w:val="0094197B"/>
    <w:rsid w:val="009435C9"/>
    <w:rsid w:val="0095526A"/>
    <w:rsid w:val="009567B9"/>
    <w:rsid w:val="0096023A"/>
    <w:rsid w:val="00962BC3"/>
    <w:rsid w:val="00974A7E"/>
    <w:rsid w:val="0099109A"/>
    <w:rsid w:val="009B2117"/>
    <w:rsid w:val="009C65A4"/>
    <w:rsid w:val="009F4DA3"/>
    <w:rsid w:val="00A24F93"/>
    <w:rsid w:val="00A84BCB"/>
    <w:rsid w:val="00B51805"/>
    <w:rsid w:val="00BA5671"/>
    <w:rsid w:val="00C2197E"/>
    <w:rsid w:val="00C50051"/>
    <w:rsid w:val="00C909D8"/>
    <w:rsid w:val="00CB45DD"/>
    <w:rsid w:val="00CC0856"/>
    <w:rsid w:val="00CD267D"/>
    <w:rsid w:val="00D1430F"/>
    <w:rsid w:val="00D261F2"/>
    <w:rsid w:val="00D574F4"/>
    <w:rsid w:val="00D73CBD"/>
    <w:rsid w:val="00DA32EC"/>
    <w:rsid w:val="00DB6A06"/>
    <w:rsid w:val="00DC0364"/>
    <w:rsid w:val="00DC48A9"/>
    <w:rsid w:val="00E44F38"/>
    <w:rsid w:val="00E47BAD"/>
    <w:rsid w:val="00EA1035"/>
    <w:rsid w:val="00EB3E92"/>
    <w:rsid w:val="00EC2E22"/>
    <w:rsid w:val="00ED16E8"/>
    <w:rsid w:val="00EF7556"/>
    <w:rsid w:val="00F118CD"/>
    <w:rsid w:val="00F933FB"/>
    <w:rsid w:val="00FC1276"/>
    <w:rsid w:val="0312FCC7"/>
    <w:rsid w:val="063F2B6C"/>
    <w:rsid w:val="067A34BB"/>
    <w:rsid w:val="076B99CE"/>
    <w:rsid w:val="0816051C"/>
    <w:rsid w:val="0AA33A90"/>
    <w:rsid w:val="0DDADB52"/>
    <w:rsid w:val="0E9141E2"/>
    <w:rsid w:val="11E29E1C"/>
    <w:rsid w:val="1E334D33"/>
    <w:rsid w:val="21C9F3B3"/>
    <w:rsid w:val="237EF56A"/>
    <w:rsid w:val="23C08A2E"/>
    <w:rsid w:val="263DABB4"/>
    <w:rsid w:val="2A9D199A"/>
    <w:rsid w:val="2AB1F8F0"/>
    <w:rsid w:val="2D11BA73"/>
    <w:rsid w:val="32214BC4"/>
    <w:rsid w:val="389027A6"/>
    <w:rsid w:val="3F01AC5B"/>
    <w:rsid w:val="41B7E1F8"/>
    <w:rsid w:val="43BC7572"/>
    <w:rsid w:val="44005E58"/>
    <w:rsid w:val="46840AB6"/>
    <w:rsid w:val="4DBF47DA"/>
    <w:rsid w:val="4FE41C22"/>
    <w:rsid w:val="50757D77"/>
    <w:rsid w:val="532BB314"/>
    <w:rsid w:val="55554140"/>
    <w:rsid w:val="57E276B4"/>
    <w:rsid w:val="5AFDD0F6"/>
    <w:rsid w:val="5BC93FAC"/>
    <w:rsid w:val="5E51B838"/>
    <w:rsid w:val="5F04110C"/>
    <w:rsid w:val="62656F5F"/>
    <w:rsid w:val="64C8E742"/>
    <w:rsid w:val="6664B7A3"/>
    <w:rsid w:val="679045D5"/>
    <w:rsid w:val="6794DA6D"/>
    <w:rsid w:val="68008804"/>
    <w:rsid w:val="68AAF352"/>
    <w:rsid w:val="68ADF247"/>
    <w:rsid w:val="6941FECB"/>
    <w:rsid w:val="699C5865"/>
    <w:rsid w:val="6BF83468"/>
    <w:rsid w:val="6FECE1E6"/>
    <w:rsid w:val="700B99E9"/>
    <w:rsid w:val="706CBADD"/>
    <w:rsid w:val="77056F20"/>
    <w:rsid w:val="799BB1B2"/>
    <w:rsid w:val="7B378213"/>
    <w:rsid w:val="7E6F22D5"/>
    <w:rsid w:val="7E82788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610B"/>
  <w15:chartTrackingRefBased/>
  <w15:docId w15:val="{BE1F6D11-F7F8-0648-823D-9438CF0D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16E8"/>
    <w:pPr>
      <w:jc w:val="center"/>
    </w:pPr>
    <w:rPr>
      <w:rFonts w:ascii="Arial" w:eastAsia="Times New Roman" w:hAnsi="Arial" w:cs="Times New Roman"/>
      <w:b/>
      <w:snapToGrid w:val="0"/>
      <w:szCs w:val="20"/>
      <w:u w:val="single"/>
      <w:lang w:val="en-US"/>
    </w:rPr>
  </w:style>
  <w:style w:type="character" w:customStyle="1" w:styleId="TitleChar">
    <w:name w:val="Title Char"/>
    <w:basedOn w:val="DefaultParagraphFont"/>
    <w:link w:val="Title"/>
    <w:rsid w:val="00ED16E8"/>
    <w:rPr>
      <w:rFonts w:ascii="Arial" w:eastAsia="Times New Roman" w:hAnsi="Arial" w:cs="Times New Roman"/>
      <w:b/>
      <w:snapToGrid w:val="0"/>
      <w:szCs w:val="20"/>
      <w:u w:val="single"/>
      <w:lang w:val="en-US"/>
    </w:rPr>
  </w:style>
  <w:style w:type="character" w:styleId="Hyperlink">
    <w:name w:val="Hyperlink"/>
    <w:basedOn w:val="DefaultParagraphFont"/>
    <w:rsid w:val="00ED16E8"/>
    <w:rPr>
      <w:color w:val="0000FF"/>
      <w:u w:val="single"/>
    </w:rPr>
  </w:style>
  <w:style w:type="table" w:styleId="TableGrid">
    <w:name w:val="Table Grid"/>
    <w:basedOn w:val="TableNormal"/>
    <w:uiPriority w:val="39"/>
    <w:rsid w:val="00ED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4F4"/>
    <w:pPr>
      <w:ind w:left="720"/>
      <w:contextualSpacing/>
    </w:pPr>
  </w:style>
  <w:style w:type="character" w:customStyle="1" w:styleId="UnresolvedMention1">
    <w:name w:val="Unresolved Mention1"/>
    <w:basedOn w:val="DefaultParagraphFont"/>
    <w:uiPriority w:val="99"/>
    <w:semiHidden/>
    <w:unhideWhenUsed/>
    <w:rsid w:val="00907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hyperlink" Target="https://www.health.qld.gov.au/__data/assets/pdf_file/0031/646078/refugee-policy.pdf" TargetMode="Externa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macdonald@griffith.edu.au" TargetMode="External"/><Relationship Id="rId11" Type="http://schemas.openxmlformats.org/officeDocument/2006/relationships/chart" Target="charts/chart3.xm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https://griffitheduau-my.sharepoint.com/personal/j_pietsch_griffith_edu_au/Documents/GERN%20Dental%20Health%20Project/Quantitative%20Analysis/Dental%20Fair%20data/Analysis/20230124%20-%20DATABAS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griffitheduau-my.sharepoint.com/personal/j_pietsch_griffith_edu_au/Documents/GERN%20Dental%20Health%20Project/Quantitative%20Analysis/Dental%20Fair%20data/Analysis/20230124%20-%20DATABA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griffitheduau-my.sharepoint.com/personal/j_pietsch_griffith_edu_au/Documents/GERN%20Dental%20Health%20Project/Quantitative%20Analysis/Dental%20Fair%20data/Analysis/20230124%20-%20DATABAS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griffitheduau-my.sharepoint.com/personal/j_pietsch_griffith_edu_au/Documents/GERN%20Dental%20Health%20Project/Quantitative%20Analysis/Dental%20Fair%20data/Analysis/20230124%20-%20DATABAS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griffitheduau-my.sharepoint.com/personal/j_pietsch_griffith_edu_au/Documents/GERN%20Dental%20Health%20Project/Quantitative%20Analysis/Dental%20Fair%20data/Analysis/20230124%20-%20DATABAS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griffitheduau-my.sharepoint.com/personal/j_pietsch_griffith_edu_au/Documents/GERN%20Dental%20Health%20Project/Quantitative%20Analysis/Dental%20Fair%20data/Analysis/20230124%20-%20DATABASE.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[20230124 - DATABASE.xlsx]Sex_Country!PivotTable4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Distribution of refugees</a:t>
            </a:r>
            <a:r>
              <a:rPr lang="en-US" sz="1200" b="1" baseline="0">
                <a:solidFill>
                  <a:sysClr val="windowText" lastClr="000000"/>
                </a:solidFill>
              </a:rPr>
              <a:t> according to sex assigned at birth (n: 2810)</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Lst>
        </c:dLbl>
      </c:pivotFmt>
      <c:pivotFmt>
        <c:idx val="1"/>
        <c:spPr>
          <a:solidFill>
            <a:srgbClr val="FFC000"/>
          </a:solidFill>
          <a:ln w="19050">
            <a:solidFill>
              <a:schemeClr val="lt1"/>
            </a:solidFill>
          </a:ln>
          <a:effectLst/>
        </c:spPr>
      </c:pivotFmt>
      <c:pivotFmt>
        <c:idx val="2"/>
        <c:spPr>
          <a:solidFill>
            <a:srgbClr val="00B050"/>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marker>
          <c:symbol val="none"/>
        </c:marker>
        <c:dLbl>
          <c:idx val="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Lst>
        </c:dLbl>
      </c:pivotFmt>
      <c:pivotFmt>
        <c:idx val="6"/>
        <c:spPr>
          <a:solidFill>
            <a:srgbClr val="FFC000"/>
          </a:solidFill>
          <a:ln w="19050">
            <a:solidFill>
              <a:schemeClr val="lt1"/>
            </a:solidFill>
          </a:ln>
          <a:effectLst/>
        </c:spPr>
      </c:pivotFmt>
      <c:pivotFmt>
        <c:idx val="7"/>
        <c:spPr>
          <a:solidFill>
            <a:srgbClr val="00B050"/>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marker>
          <c:symbol val="none"/>
        </c:marker>
        <c:dLbl>
          <c:idx val="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Lst>
        </c:dLbl>
      </c:pivotFmt>
      <c:pivotFmt>
        <c:idx val="10"/>
        <c:spPr>
          <a:solidFill>
            <a:srgbClr val="FFC000"/>
          </a:solidFill>
          <a:ln w="19050">
            <a:solidFill>
              <a:schemeClr val="lt1"/>
            </a:solidFill>
          </a:ln>
          <a:effectLst/>
        </c:spPr>
      </c:pivotFmt>
      <c:pivotFmt>
        <c:idx val="11"/>
        <c:spPr>
          <a:solidFill>
            <a:srgbClr val="00B050"/>
          </a:solidFill>
          <a:ln w="19050">
            <a:solidFill>
              <a:schemeClr val="lt1"/>
            </a:solidFill>
          </a:ln>
          <a:effectLst/>
        </c:spPr>
      </c:pivotFmt>
      <c:pivotFmt>
        <c:idx val="12"/>
        <c:spPr>
          <a:solidFill>
            <a:schemeClr val="accent1"/>
          </a:solidFill>
          <a:ln w="19050">
            <a:solidFill>
              <a:schemeClr val="lt1"/>
            </a:solidFill>
          </a:ln>
          <a:effectLst/>
        </c:spPr>
      </c:pivotFmt>
    </c:pivotFmts>
    <c:plotArea>
      <c:layout/>
      <c:pieChart>
        <c:varyColors val="1"/>
        <c:ser>
          <c:idx val="0"/>
          <c:order val="0"/>
          <c:tx>
            <c:strRef>
              <c:f>Sex_Country!$B$4</c:f>
              <c:strCache>
                <c:ptCount val="1"/>
                <c:pt idx="0">
                  <c:v>Total</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C20C-46C5-AABE-3B92B9F582E2}"/>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C20C-46C5-AABE-3B92B9F582E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20C-46C5-AABE-3B92B9F582E2}"/>
              </c:ext>
            </c:extLst>
          </c:dPt>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Sex_Country!$A$5:$A$8</c:f>
              <c:strCache>
                <c:ptCount val="3"/>
                <c:pt idx="0">
                  <c:v>Female</c:v>
                </c:pt>
                <c:pt idx="1">
                  <c:v>Male</c:v>
                </c:pt>
                <c:pt idx="2">
                  <c:v>Not specified</c:v>
                </c:pt>
              </c:strCache>
            </c:strRef>
          </c:cat>
          <c:val>
            <c:numRef>
              <c:f>Sex_Country!$B$5:$B$8</c:f>
              <c:numCache>
                <c:formatCode>General</c:formatCode>
                <c:ptCount val="3"/>
                <c:pt idx="0">
                  <c:v>1137</c:v>
                </c:pt>
                <c:pt idx="1">
                  <c:v>1224</c:v>
                </c:pt>
                <c:pt idx="2">
                  <c:v>449</c:v>
                </c:pt>
              </c:numCache>
            </c:numRef>
          </c:val>
          <c:extLst>
            <c:ext xmlns:c16="http://schemas.microsoft.com/office/drawing/2014/chart" uri="{C3380CC4-5D6E-409C-BE32-E72D297353CC}">
              <c16:uniqueId val="{00000006-C20C-46C5-AABE-3B92B9F582E2}"/>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[20230124 - DATABASE.xlsx]AgeTreat_Sex_Country!PivotTable1</c:name>
    <c:fmtId val="-1"/>
  </c:pivotSource>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AU" sz="1200" b="1">
                <a:solidFill>
                  <a:sysClr val="windowText" lastClr="000000"/>
                </a:solidFill>
              </a:rPr>
              <a:t>Distribution of refugees according to age at</a:t>
            </a:r>
            <a:r>
              <a:rPr lang="en-AU" sz="1200" b="1" baseline="0">
                <a:solidFill>
                  <a:sysClr val="windowText" lastClr="000000"/>
                </a:solidFill>
              </a:rPr>
              <a:t> treatment and sex assigned at birth (n: 2137)</a:t>
            </a:r>
            <a:endParaRPr lang="en-A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percentStacked"/>
        <c:varyColors val="0"/>
        <c:ser>
          <c:idx val="0"/>
          <c:order val="0"/>
          <c:tx>
            <c:strRef>
              <c:f>AgeTreat_Sex_Country!$B$4:$B$5</c:f>
              <c:strCache>
                <c:ptCount val="1"/>
                <c:pt idx="0">
                  <c:v>Female</c:v>
                </c:pt>
              </c:strCache>
            </c:strRef>
          </c:tx>
          <c:spPr>
            <a:solidFill>
              <a:srgbClr val="FFC000"/>
            </a:solidFill>
            <a:ln>
              <a:noFill/>
            </a:ln>
            <a:effectLst/>
          </c:spPr>
          <c:invertIfNegative val="0"/>
          <c:cat>
            <c:strRef>
              <c:f>AgeTreat_Sex_Country!$A$6:$A$23</c:f>
              <c:strCache>
                <c:ptCount val="17"/>
                <c:pt idx="0">
                  <c:v>0-4</c:v>
                </c:pt>
                <c:pt idx="1">
                  <c:v>5-9</c:v>
                </c:pt>
                <c:pt idx="2">
                  <c:v>10-14</c:v>
                </c:pt>
                <c:pt idx="3">
                  <c:v>15-19</c:v>
                </c:pt>
                <c:pt idx="4">
                  <c:v>20-24</c:v>
                </c:pt>
                <c:pt idx="5">
                  <c:v>25-26</c:v>
                </c:pt>
                <c:pt idx="6">
                  <c:v>30-34</c:v>
                </c:pt>
                <c:pt idx="7">
                  <c:v>35-39</c:v>
                </c:pt>
                <c:pt idx="8">
                  <c:v>40-44</c:v>
                </c:pt>
                <c:pt idx="9">
                  <c:v>45-49</c:v>
                </c:pt>
                <c:pt idx="10">
                  <c:v>50-54</c:v>
                </c:pt>
                <c:pt idx="11">
                  <c:v>55-59</c:v>
                </c:pt>
                <c:pt idx="12">
                  <c:v>60-64</c:v>
                </c:pt>
                <c:pt idx="13">
                  <c:v>65-69</c:v>
                </c:pt>
                <c:pt idx="14">
                  <c:v>70-74</c:v>
                </c:pt>
                <c:pt idx="15">
                  <c:v>75-79</c:v>
                </c:pt>
                <c:pt idx="16">
                  <c:v>&gt; 80</c:v>
                </c:pt>
              </c:strCache>
            </c:strRef>
          </c:cat>
          <c:val>
            <c:numRef>
              <c:f>AgeTreat_Sex_Country!$B$6:$B$23</c:f>
              <c:numCache>
                <c:formatCode>General</c:formatCode>
                <c:ptCount val="17"/>
                <c:pt idx="0">
                  <c:v>11</c:v>
                </c:pt>
                <c:pt idx="1">
                  <c:v>22</c:v>
                </c:pt>
                <c:pt idx="2">
                  <c:v>12</c:v>
                </c:pt>
                <c:pt idx="3">
                  <c:v>89</c:v>
                </c:pt>
                <c:pt idx="4">
                  <c:v>184</c:v>
                </c:pt>
                <c:pt idx="5">
                  <c:v>183</c:v>
                </c:pt>
                <c:pt idx="6">
                  <c:v>139</c:v>
                </c:pt>
                <c:pt idx="7">
                  <c:v>134</c:v>
                </c:pt>
                <c:pt idx="8">
                  <c:v>99</c:v>
                </c:pt>
                <c:pt idx="9">
                  <c:v>50</c:v>
                </c:pt>
                <c:pt idx="10">
                  <c:v>41</c:v>
                </c:pt>
                <c:pt idx="11">
                  <c:v>26</c:v>
                </c:pt>
                <c:pt idx="12">
                  <c:v>21</c:v>
                </c:pt>
                <c:pt idx="13">
                  <c:v>4</c:v>
                </c:pt>
                <c:pt idx="14">
                  <c:v>4</c:v>
                </c:pt>
                <c:pt idx="15">
                  <c:v>2</c:v>
                </c:pt>
                <c:pt idx="16">
                  <c:v>3</c:v>
                </c:pt>
              </c:numCache>
            </c:numRef>
          </c:val>
          <c:extLst>
            <c:ext xmlns:c16="http://schemas.microsoft.com/office/drawing/2014/chart" uri="{C3380CC4-5D6E-409C-BE32-E72D297353CC}">
              <c16:uniqueId val="{00000000-40EE-497B-9045-41D35F806DB0}"/>
            </c:ext>
          </c:extLst>
        </c:ser>
        <c:ser>
          <c:idx val="1"/>
          <c:order val="1"/>
          <c:tx>
            <c:strRef>
              <c:f>AgeTreat_Sex_Country!$C$4:$C$5</c:f>
              <c:strCache>
                <c:ptCount val="1"/>
                <c:pt idx="0">
                  <c:v>Male</c:v>
                </c:pt>
              </c:strCache>
            </c:strRef>
          </c:tx>
          <c:spPr>
            <a:solidFill>
              <a:srgbClr val="00B050"/>
            </a:solidFill>
            <a:ln>
              <a:noFill/>
            </a:ln>
            <a:effectLst/>
          </c:spPr>
          <c:invertIfNegative val="0"/>
          <c:cat>
            <c:strRef>
              <c:f>AgeTreat_Sex_Country!$A$6:$A$23</c:f>
              <c:strCache>
                <c:ptCount val="17"/>
                <c:pt idx="0">
                  <c:v>0-4</c:v>
                </c:pt>
                <c:pt idx="1">
                  <c:v>5-9</c:v>
                </c:pt>
                <c:pt idx="2">
                  <c:v>10-14</c:v>
                </c:pt>
                <c:pt idx="3">
                  <c:v>15-19</c:v>
                </c:pt>
                <c:pt idx="4">
                  <c:v>20-24</c:v>
                </c:pt>
                <c:pt idx="5">
                  <c:v>25-26</c:v>
                </c:pt>
                <c:pt idx="6">
                  <c:v>30-34</c:v>
                </c:pt>
                <c:pt idx="7">
                  <c:v>35-39</c:v>
                </c:pt>
                <c:pt idx="8">
                  <c:v>40-44</c:v>
                </c:pt>
                <c:pt idx="9">
                  <c:v>45-49</c:v>
                </c:pt>
                <c:pt idx="10">
                  <c:v>50-54</c:v>
                </c:pt>
                <c:pt idx="11">
                  <c:v>55-59</c:v>
                </c:pt>
                <c:pt idx="12">
                  <c:v>60-64</c:v>
                </c:pt>
                <c:pt idx="13">
                  <c:v>65-69</c:v>
                </c:pt>
                <c:pt idx="14">
                  <c:v>70-74</c:v>
                </c:pt>
                <c:pt idx="15">
                  <c:v>75-79</c:v>
                </c:pt>
                <c:pt idx="16">
                  <c:v>&gt; 80</c:v>
                </c:pt>
              </c:strCache>
            </c:strRef>
          </c:cat>
          <c:val>
            <c:numRef>
              <c:f>AgeTreat_Sex_Country!$C$6:$C$23</c:f>
              <c:numCache>
                <c:formatCode>General</c:formatCode>
                <c:ptCount val="17"/>
                <c:pt idx="0">
                  <c:v>15</c:v>
                </c:pt>
                <c:pt idx="1">
                  <c:v>28</c:v>
                </c:pt>
                <c:pt idx="2">
                  <c:v>24</c:v>
                </c:pt>
                <c:pt idx="3">
                  <c:v>92</c:v>
                </c:pt>
                <c:pt idx="4">
                  <c:v>200</c:v>
                </c:pt>
                <c:pt idx="5">
                  <c:v>181</c:v>
                </c:pt>
                <c:pt idx="6">
                  <c:v>152</c:v>
                </c:pt>
                <c:pt idx="7">
                  <c:v>131</c:v>
                </c:pt>
                <c:pt idx="8">
                  <c:v>96</c:v>
                </c:pt>
                <c:pt idx="9">
                  <c:v>80</c:v>
                </c:pt>
                <c:pt idx="10">
                  <c:v>47</c:v>
                </c:pt>
                <c:pt idx="11">
                  <c:v>40</c:v>
                </c:pt>
                <c:pt idx="12">
                  <c:v>19</c:v>
                </c:pt>
                <c:pt idx="13">
                  <c:v>5</c:v>
                </c:pt>
                <c:pt idx="14">
                  <c:v>1</c:v>
                </c:pt>
                <c:pt idx="15">
                  <c:v>2</c:v>
                </c:pt>
              </c:numCache>
            </c:numRef>
          </c:val>
          <c:extLst>
            <c:ext xmlns:c16="http://schemas.microsoft.com/office/drawing/2014/chart" uri="{C3380CC4-5D6E-409C-BE32-E72D297353CC}">
              <c16:uniqueId val="{00000001-40EE-497B-9045-41D35F806DB0}"/>
            </c:ext>
          </c:extLst>
        </c:ser>
        <c:dLbls>
          <c:showLegendKey val="0"/>
          <c:showVal val="0"/>
          <c:showCatName val="0"/>
          <c:showSerName val="0"/>
          <c:showPercent val="0"/>
          <c:showBubbleSize val="0"/>
        </c:dLbls>
        <c:gapWidth val="62"/>
        <c:overlap val="100"/>
        <c:axId val="792515903"/>
        <c:axId val="792516735"/>
      </c:barChart>
      <c:catAx>
        <c:axId val="79251590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92516735"/>
        <c:crosses val="autoZero"/>
        <c:auto val="1"/>
        <c:lblAlgn val="ctr"/>
        <c:lblOffset val="100"/>
        <c:noMultiLvlLbl val="0"/>
      </c:catAx>
      <c:valAx>
        <c:axId val="792516735"/>
        <c:scaling>
          <c:orientation val="minMax"/>
        </c:scaling>
        <c:delete val="0"/>
        <c:axPos val="l"/>
        <c:majorGridlines>
          <c:spPr>
            <a:ln w="9525" cap="flat" cmpd="sng" algn="ctr">
              <a:solidFill>
                <a:schemeClr val="bg1">
                  <a:lumMod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92515903"/>
        <c:crosses val="autoZero"/>
        <c:crossBetween val="between"/>
      </c:valAx>
      <c:spPr>
        <a:noFill/>
        <a:ln>
          <a:solidFill>
            <a:schemeClr val="tx1"/>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[20230124 - DATABASE.xlsx]AgeTreat_Country!PivotTable5</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b="1">
                <a:solidFill>
                  <a:sysClr val="windowText" lastClr="000000"/>
                </a:solidFill>
              </a:rPr>
              <a:t>Distribution of refugees</a:t>
            </a:r>
            <a:r>
              <a:rPr lang="en-US" sz="1200" b="1" baseline="0">
                <a:solidFill>
                  <a:sysClr val="windowText" lastClr="000000"/>
                </a:solidFill>
              </a:rPr>
              <a:t> acording to age (n: 2258)</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ivotFmts>
      <c:pivotFmt>
        <c:idx val="0"/>
        <c:spPr>
          <a:solidFill>
            <a:srgbClr val="7030A0"/>
          </a:solidFill>
          <a:ln>
            <a:noFill/>
          </a:ln>
          <a:effectLst/>
        </c:spPr>
        <c:marker>
          <c:symbol val="none"/>
        </c:marker>
        <c:dLbl>
          <c:idx val="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7030A0"/>
          </a:solidFill>
          <a:ln>
            <a:noFill/>
          </a:ln>
          <a:effectLst/>
        </c:spPr>
        <c:marker>
          <c:symbol val="none"/>
        </c:marker>
        <c:dLbl>
          <c:idx val="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7030A0"/>
          </a:solidFill>
          <a:ln>
            <a:noFill/>
          </a:ln>
          <a:effectLst/>
        </c:spPr>
        <c:marker>
          <c:symbol val="none"/>
        </c:marker>
        <c:dLbl>
          <c:idx val="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AgeTreat_Country!$B$4</c:f>
              <c:strCache>
                <c:ptCount val="1"/>
                <c:pt idx="0">
                  <c:v>Total</c:v>
                </c:pt>
              </c:strCache>
            </c:strRef>
          </c:tx>
          <c:spPr>
            <a:solidFill>
              <a:srgbClr val="7030A0"/>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AgeTreat_Country!$A$5:$A$22</c:f>
              <c:strCache>
                <c:ptCount val="17"/>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&gt; 80</c:v>
                </c:pt>
              </c:strCache>
            </c:strRef>
          </c:cat>
          <c:val>
            <c:numRef>
              <c:f>AgeTreat_Country!$B$5:$B$22</c:f>
              <c:numCache>
                <c:formatCode>General</c:formatCode>
                <c:ptCount val="17"/>
                <c:pt idx="0">
                  <c:v>27</c:v>
                </c:pt>
                <c:pt idx="1">
                  <c:v>51</c:v>
                </c:pt>
                <c:pt idx="2">
                  <c:v>39</c:v>
                </c:pt>
                <c:pt idx="3">
                  <c:v>186</c:v>
                </c:pt>
                <c:pt idx="4">
                  <c:v>396</c:v>
                </c:pt>
                <c:pt idx="5">
                  <c:v>385</c:v>
                </c:pt>
                <c:pt idx="6">
                  <c:v>307</c:v>
                </c:pt>
                <c:pt idx="7">
                  <c:v>283</c:v>
                </c:pt>
                <c:pt idx="8">
                  <c:v>215</c:v>
                </c:pt>
                <c:pt idx="9">
                  <c:v>136</c:v>
                </c:pt>
                <c:pt idx="10">
                  <c:v>96</c:v>
                </c:pt>
                <c:pt idx="11">
                  <c:v>71</c:v>
                </c:pt>
                <c:pt idx="12">
                  <c:v>41</c:v>
                </c:pt>
                <c:pt idx="13">
                  <c:v>12</c:v>
                </c:pt>
                <c:pt idx="14">
                  <c:v>6</c:v>
                </c:pt>
                <c:pt idx="15">
                  <c:v>4</c:v>
                </c:pt>
                <c:pt idx="16">
                  <c:v>3</c:v>
                </c:pt>
              </c:numCache>
            </c:numRef>
          </c:val>
          <c:extLst>
            <c:ext xmlns:c16="http://schemas.microsoft.com/office/drawing/2014/chart" uri="{C3380CC4-5D6E-409C-BE32-E72D297353CC}">
              <c16:uniqueId val="{00000000-7352-4A27-864C-B0B5808E2ED4}"/>
            </c:ext>
          </c:extLst>
        </c:ser>
        <c:dLbls>
          <c:dLblPos val="outEnd"/>
          <c:showLegendKey val="0"/>
          <c:showVal val="1"/>
          <c:showCatName val="0"/>
          <c:showSerName val="0"/>
          <c:showPercent val="0"/>
          <c:showBubbleSize val="0"/>
        </c:dLbls>
        <c:gapWidth val="73"/>
        <c:overlap val="-27"/>
        <c:axId val="481767471"/>
        <c:axId val="481769135"/>
      </c:barChart>
      <c:catAx>
        <c:axId val="4817674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1769135"/>
        <c:crosses val="autoZero"/>
        <c:auto val="1"/>
        <c:lblAlgn val="ctr"/>
        <c:lblOffset val="100"/>
        <c:noMultiLvlLbl val="0"/>
      </c:catAx>
      <c:valAx>
        <c:axId val="481769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1767471"/>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[20230124 - DATABASE.xlsx]AgeTreat_Sex_Country!PivotTable1</c:name>
    <c:fmtId val="-1"/>
  </c:pivotSource>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AU" sz="1200" b="1">
                <a:solidFill>
                  <a:sysClr val="windowText" lastClr="000000"/>
                </a:solidFill>
              </a:rPr>
              <a:t>Distribution of refugees according to age at</a:t>
            </a:r>
            <a:r>
              <a:rPr lang="en-AU" sz="1200" b="1" baseline="0">
                <a:solidFill>
                  <a:sysClr val="windowText" lastClr="000000"/>
                </a:solidFill>
              </a:rPr>
              <a:t> treatment and sex assigned at birth (n: 2137)</a:t>
            </a:r>
            <a:endParaRPr lang="en-A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percentStacked"/>
        <c:varyColors val="0"/>
        <c:ser>
          <c:idx val="0"/>
          <c:order val="0"/>
          <c:tx>
            <c:strRef>
              <c:f>AgeTreat_Sex_Country!$B$4:$B$5</c:f>
              <c:strCache>
                <c:ptCount val="1"/>
                <c:pt idx="0">
                  <c:v>Female</c:v>
                </c:pt>
              </c:strCache>
            </c:strRef>
          </c:tx>
          <c:spPr>
            <a:solidFill>
              <a:srgbClr val="FFC000"/>
            </a:solidFill>
            <a:ln>
              <a:noFill/>
            </a:ln>
            <a:effectLst/>
          </c:spPr>
          <c:invertIfNegative val="0"/>
          <c:cat>
            <c:strRef>
              <c:f>AgeTreat_Sex_Country!$A$6:$A$23</c:f>
              <c:strCache>
                <c:ptCount val="17"/>
                <c:pt idx="0">
                  <c:v>0-4</c:v>
                </c:pt>
                <c:pt idx="1">
                  <c:v>5-9</c:v>
                </c:pt>
                <c:pt idx="2">
                  <c:v>10-14</c:v>
                </c:pt>
                <c:pt idx="3">
                  <c:v>15-19</c:v>
                </c:pt>
                <c:pt idx="4">
                  <c:v>20-24</c:v>
                </c:pt>
                <c:pt idx="5">
                  <c:v>25-26</c:v>
                </c:pt>
                <c:pt idx="6">
                  <c:v>30-34</c:v>
                </c:pt>
                <c:pt idx="7">
                  <c:v>35-39</c:v>
                </c:pt>
                <c:pt idx="8">
                  <c:v>40-44</c:v>
                </c:pt>
                <c:pt idx="9">
                  <c:v>45-49</c:v>
                </c:pt>
                <c:pt idx="10">
                  <c:v>50-54</c:v>
                </c:pt>
                <c:pt idx="11">
                  <c:v>55-59</c:v>
                </c:pt>
                <c:pt idx="12">
                  <c:v>60-64</c:v>
                </c:pt>
                <c:pt idx="13">
                  <c:v>65-69</c:v>
                </c:pt>
                <c:pt idx="14">
                  <c:v>70-74</c:v>
                </c:pt>
                <c:pt idx="15">
                  <c:v>75-79</c:v>
                </c:pt>
                <c:pt idx="16">
                  <c:v>&gt; 80</c:v>
                </c:pt>
              </c:strCache>
            </c:strRef>
          </c:cat>
          <c:val>
            <c:numRef>
              <c:f>AgeTreat_Sex_Country!$B$6:$B$23</c:f>
              <c:numCache>
                <c:formatCode>General</c:formatCode>
                <c:ptCount val="17"/>
                <c:pt idx="0">
                  <c:v>11</c:v>
                </c:pt>
                <c:pt idx="1">
                  <c:v>22</c:v>
                </c:pt>
                <c:pt idx="2">
                  <c:v>12</c:v>
                </c:pt>
                <c:pt idx="3">
                  <c:v>89</c:v>
                </c:pt>
                <c:pt idx="4">
                  <c:v>184</c:v>
                </c:pt>
                <c:pt idx="5">
                  <c:v>183</c:v>
                </c:pt>
                <c:pt idx="6">
                  <c:v>139</c:v>
                </c:pt>
                <c:pt idx="7">
                  <c:v>134</c:v>
                </c:pt>
                <c:pt idx="8">
                  <c:v>99</c:v>
                </c:pt>
                <c:pt idx="9">
                  <c:v>50</c:v>
                </c:pt>
                <c:pt idx="10">
                  <c:v>41</c:v>
                </c:pt>
                <c:pt idx="11">
                  <c:v>26</c:v>
                </c:pt>
                <c:pt idx="12">
                  <c:v>21</c:v>
                </c:pt>
                <c:pt idx="13">
                  <c:v>4</c:v>
                </c:pt>
                <c:pt idx="14">
                  <c:v>4</c:v>
                </c:pt>
                <c:pt idx="15">
                  <c:v>2</c:v>
                </c:pt>
                <c:pt idx="16">
                  <c:v>3</c:v>
                </c:pt>
              </c:numCache>
            </c:numRef>
          </c:val>
          <c:extLst>
            <c:ext xmlns:c16="http://schemas.microsoft.com/office/drawing/2014/chart" uri="{C3380CC4-5D6E-409C-BE32-E72D297353CC}">
              <c16:uniqueId val="{00000000-005E-482C-953F-9E4F30F696E3}"/>
            </c:ext>
          </c:extLst>
        </c:ser>
        <c:ser>
          <c:idx val="1"/>
          <c:order val="1"/>
          <c:tx>
            <c:strRef>
              <c:f>AgeTreat_Sex_Country!$C$4:$C$5</c:f>
              <c:strCache>
                <c:ptCount val="1"/>
                <c:pt idx="0">
                  <c:v>Male</c:v>
                </c:pt>
              </c:strCache>
            </c:strRef>
          </c:tx>
          <c:spPr>
            <a:solidFill>
              <a:srgbClr val="00B050"/>
            </a:solidFill>
            <a:ln>
              <a:noFill/>
            </a:ln>
            <a:effectLst/>
          </c:spPr>
          <c:invertIfNegative val="0"/>
          <c:cat>
            <c:strRef>
              <c:f>AgeTreat_Sex_Country!$A$6:$A$23</c:f>
              <c:strCache>
                <c:ptCount val="17"/>
                <c:pt idx="0">
                  <c:v>0-4</c:v>
                </c:pt>
                <c:pt idx="1">
                  <c:v>5-9</c:v>
                </c:pt>
                <c:pt idx="2">
                  <c:v>10-14</c:v>
                </c:pt>
                <c:pt idx="3">
                  <c:v>15-19</c:v>
                </c:pt>
                <c:pt idx="4">
                  <c:v>20-24</c:v>
                </c:pt>
                <c:pt idx="5">
                  <c:v>25-26</c:v>
                </c:pt>
                <c:pt idx="6">
                  <c:v>30-34</c:v>
                </c:pt>
                <c:pt idx="7">
                  <c:v>35-39</c:v>
                </c:pt>
                <c:pt idx="8">
                  <c:v>40-44</c:v>
                </c:pt>
                <c:pt idx="9">
                  <c:v>45-49</c:v>
                </c:pt>
                <c:pt idx="10">
                  <c:v>50-54</c:v>
                </c:pt>
                <c:pt idx="11">
                  <c:v>55-59</c:v>
                </c:pt>
                <c:pt idx="12">
                  <c:v>60-64</c:v>
                </c:pt>
                <c:pt idx="13">
                  <c:v>65-69</c:v>
                </c:pt>
                <c:pt idx="14">
                  <c:v>70-74</c:v>
                </c:pt>
                <c:pt idx="15">
                  <c:v>75-79</c:v>
                </c:pt>
                <c:pt idx="16">
                  <c:v>&gt; 80</c:v>
                </c:pt>
              </c:strCache>
            </c:strRef>
          </c:cat>
          <c:val>
            <c:numRef>
              <c:f>AgeTreat_Sex_Country!$C$6:$C$23</c:f>
              <c:numCache>
                <c:formatCode>General</c:formatCode>
                <c:ptCount val="17"/>
                <c:pt idx="0">
                  <c:v>15</c:v>
                </c:pt>
                <c:pt idx="1">
                  <c:v>28</c:v>
                </c:pt>
                <c:pt idx="2">
                  <c:v>24</c:v>
                </c:pt>
                <c:pt idx="3">
                  <c:v>92</c:v>
                </c:pt>
                <c:pt idx="4">
                  <c:v>200</c:v>
                </c:pt>
                <c:pt idx="5">
                  <c:v>181</c:v>
                </c:pt>
                <c:pt idx="6">
                  <c:v>152</c:v>
                </c:pt>
                <c:pt idx="7">
                  <c:v>131</c:v>
                </c:pt>
                <c:pt idx="8">
                  <c:v>96</c:v>
                </c:pt>
                <c:pt idx="9">
                  <c:v>80</c:v>
                </c:pt>
                <c:pt idx="10">
                  <c:v>47</c:v>
                </c:pt>
                <c:pt idx="11">
                  <c:v>40</c:v>
                </c:pt>
                <c:pt idx="12">
                  <c:v>19</c:v>
                </c:pt>
                <c:pt idx="13">
                  <c:v>5</c:v>
                </c:pt>
                <c:pt idx="14">
                  <c:v>1</c:v>
                </c:pt>
                <c:pt idx="15">
                  <c:v>2</c:v>
                </c:pt>
              </c:numCache>
            </c:numRef>
          </c:val>
          <c:extLst>
            <c:ext xmlns:c16="http://schemas.microsoft.com/office/drawing/2014/chart" uri="{C3380CC4-5D6E-409C-BE32-E72D297353CC}">
              <c16:uniqueId val="{00000001-005E-482C-953F-9E4F30F696E3}"/>
            </c:ext>
          </c:extLst>
        </c:ser>
        <c:dLbls>
          <c:showLegendKey val="0"/>
          <c:showVal val="0"/>
          <c:showCatName val="0"/>
          <c:showSerName val="0"/>
          <c:showPercent val="0"/>
          <c:showBubbleSize val="0"/>
        </c:dLbls>
        <c:gapWidth val="62"/>
        <c:overlap val="100"/>
        <c:axId val="792515903"/>
        <c:axId val="792516735"/>
      </c:barChart>
      <c:catAx>
        <c:axId val="79251590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92516735"/>
        <c:crosses val="autoZero"/>
        <c:auto val="1"/>
        <c:lblAlgn val="ctr"/>
        <c:lblOffset val="100"/>
        <c:noMultiLvlLbl val="0"/>
      </c:catAx>
      <c:valAx>
        <c:axId val="792516735"/>
        <c:scaling>
          <c:orientation val="minMax"/>
        </c:scaling>
        <c:delete val="0"/>
        <c:axPos val="l"/>
        <c:majorGridlines>
          <c:spPr>
            <a:ln w="9525" cap="flat" cmpd="sng" algn="ctr">
              <a:solidFill>
                <a:schemeClr val="bg1">
                  <a:lumMod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92515903"/>
        <c:crosses val="autoZero"/>
        <c:crossBetween val="between"/>
      </c:valAx>
      <c:spPr>
        <a:noFill/>
        <a:ln>
          <a:solidFill>
            <a:schemeClr val="tx1"/>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AU" sz="1200" b="1" i="0" baseline="0">
                <a:solidFill>
                  <a:sysClr val="windowText" lastClr="000000"/>
                </a:solidFill>
                <a:effectLst/>
              </a:rPr>
              <a:t>age pyramid (n: 2137)</a:t>
            </a:r>
            <a:endParaRPr lang="en-AU" sz="12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Pop_pyramid!$C$2</c:f>
              <c:strCache>
                <c:ptCount val="1"/>
                <c:pt idx="0">
                  <c:v>Female</c:v>
                </c:pt>
              </c:strCache>
            </c:strRef>
          </c:tx>
          <c:spPr>
            <a:solidFill>
              <a:srgbClr val="FFC000"/>
            </a:solidFill>
            <a:ln>
              <a:noFill/>
            </a:ln>
            <a:effectLst/>
          </c:spPr>
          <c:invertIfNegative val="0"/>
          <c:cat>
            <c:strRef>
              <c:f>Pop_pyramid!$B$3:$B$19</c:f>
              <c:strCache>
                <c:ptCount val="17"/>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&gt; 80</c:v>
                </c:pt>
              </c:strCache>
            </c:strRef>
          </c:cat>
          <c:val>
            <c:numRef>
              <c:f>Pop_pyramid!$C$3:$C$19</c:f>
              <c:numCache>
                <c:formatCode>0</c:formatCode>
                <c:ptCount val="17"/>
                <c:pt idx="0">
                  <c:v>-11</c:v>
                </c:pt>
                <c:pt idx="1">
                  <c:v>-22</c:v>
                </c:pt>
                <c:pt idx="2">
                  <c:v>-12</c:v>
                </c:pt>
                <c:pt idx="3">
                  <c:v>-89</c:v>
                </c:pt>
                <c:pt idx="4">
                  <c:v>-184</c:v>
                </c:pt>
                <c:pt idx="5">
                  <c:v>-183</c:v>
                </c:pt>
                <c:pt idx="6">
                  <c:v>-139</c:v>
                </c:pt>
                <c:pt idx="7">
                  <c:v>-134</c:v>
                </c:pt>
                <c:pt idx="8">
                  <c:v>-99</c:v>
                </c:pt>
                <c:pt idx="9">
                  <c:v>-50</c:v>
                </c:pt>
                <c:pt idx="10">
                  <c:v>-41</c:v>
                </c:pt>
                <c:pt idx="11">
                  <c:v>-26</c:v>
                </c:pt>
                <c:pt idx="12">
                  <c:v>-21</c:v>
                </c:pt>
                <c:pt idx="13">
                  <c:v>-4</c:v>
                </c:pt>
                <c:pt idx="14">
                  <c:v>-4</c:v>
                </c:pt>
                <c:pt idx="15">
                  <c:v>-2</c:v>
                </c:pt>
                <c:pt idx="16">
                  <c:v>-3</c:v>
                </c:pt>
              </c:numCache>
            </c:numRef>
          </c:val>
          <c:extLst>
            <c:ext xmlns:c16="http://schemas.microsoft.com/office/drawing/2014/chart" uri="{C3380CC4-5D6E-409C-BE32-E72D297353CC}">
              <c16:uniqueId val="{00000000-FAC8-4E9A-85CC-3B648DE53F3D}"/>
            </c:ext>
          </c:extLst>
        </c:ser>
        <c:ser>
          <c:idx val="1"/>
          <c:order val="1"/>
          <c:tx>
            <c:strRef>
              <c:f>Pop_pyramid!$D$2</c:f>
              <c:strCache>
                <c:ptCount val="1"/>
                <c:pt idx="0">
                  <c:v>Male</c:v>
                </c:pt>
              </c:strCache>
            </c:strRef>
          </c:tx>
          <c:spPr>
            <a:solidFill>
              <a:srgbClr val="00B050"/>
            </a:solidFill>
            <a:ln>
              <a:noFill/>
            </a:ln>
            <a:effectLst/>
          </c:spPr>
          <c:invertIfNegative val="0"/>
          <c:cat>
            <c:strRef>
              <c:f>Pop_pyramid!$B$3:$B$19</c:f>
              <c:strCache>
                <c:ptCount val="17"/>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&gt; 80</c:v>
                </c:pt>
              </c:strCache>
            </c:strRef>
          </c:cat>
          <c:val>
            <c:numRef>
              <c:f>Pop_pyramid!$D$3:$D$19</c:f>
              <c:numCache>
                <c:formatCode>0</c:formatCode>
                <c:ptCount val="17"/>
                <c:pt idx="0">
                  <c:v>15</c:v>
                </c:pt>
                <c:pt idx="1">
                  <c:v>28</c:v>
                </c:pt>
                <c:pt idx="2">
                  <c:v>24</c:v>
                </c:pt>
                <c:pt idx="3">
                  <c:v>92</c:v>
                </c:pt>
                <c:pt idx="4">
                  <c:v>200</c:v>
                </c:pt>
                <c:pt idx="5">
                  <c:v>181</c:v>
                </c:pt>
                <c:pt idx="6">
                  <c:v>152</c:v>
                </c:pt>
                <c:pt idx="7">
                  <c:v>131</c:v>
                </c:pt>
                <c:pt idx="8">
                  <c:v>96</c:v>
                </c:pt>
                <c:pt idx="9">
                  <c:v>80</c:v>
                </c:pt>
                <c:pt idx="10">
                  <c:v>47</c:v>
                </c:pt>
                <c:pt idx="11">
                  <c:v>40</c:v>
                </c:pt>
                <c:pt idx="12">
                  <c:v>19</c:v>
                </c:pt>
                <c:pt idx="13">
                  <c:v>5</c:v>
                </c:pt>
                <c:pt idx="14">
                  <c:v>1</c:v>
                </c:pt>
                <c:pt idx="15">
                  <c:v>2</c:v>
                </c:pt>
                <c:pt idx="16">
                  <c:v>0</c:v>
                </c:pt>
              </c:numCache>
            </c:numRef>
          </c:val>
          <c:extLst>
            <c:ext xmlns:c16="http://schemas.microsoft.com/office/drawing/2014/chart" uri="{C3380CC4-5D6E-409C-BE32-E72D297353CC}">
              <c16:uniqueId val="{00000001-FAC8-4E9A-85CC-3B648DE53F3D}"/>
            </c:ext>
          </c:extLst>
        </c:ser>
        <c:dLbls>
          <c:showLegendKey val="0"/>
          <c:showVal val="0"/>
          <c:showCatName val="0"/>
          <c:showSerName val="0"/>
          <c:showPercent val="0"/>
          <c:showBubbleSize val="0"/>
        </c:dLbls>
        <c:gapWidth val="20"/>
        <c:overlap val="100"/>
        <c:axId val="1701831680"/>
        <c:axId val="1701832512"/>
      </c:barChart>
      <c:catAx>
        <c:axId val="1701831680"/>
        <c:scaling>
          <c:orientation val="minMax"/>
        </c:scaling>
        <c:delete val="0"/>
        <c:axPos val="l"/>
        <c:numFmt formatCode="General" sourceLinked="1"/>
        <c:majorTickMark val="none"/>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1832512"/>
        <c:crosses val="autoZero"/>
        <c:auto val="1"/>
        <c:lblAlgn val="ctr"/>
        <c:lblOffset val="200"/>
        <c:noMultiLvlLbl val="0"/>
      </c:catAx>
      <c:valAx>
        <c:axId val="1701832512"/>
        <c:scaling>
          <c:orientation val="minMax"/>
          <c:max val="250"/>
          <c:min val="-250"/>
        </c:scaling>
        <c:delete val="0"/>
        <c:axPos val="b"/>
        <c:majorGridlines>
          <c:spPr>
            <a:ln w="9525" cap="flat" cmpd="sng" algn="ctr">
              <a:solidFill>
                <a:sysClr val="windowText" lastClr="000000"/>
              </a:solidFill>
              <a:round/>
            </a:ln>
            <a:effectLst/>
          </c:spPr>
        </c:majorGridlines>
        <c:numFmt formatCode="0;[Black]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1831680"/>
        <c:crosses val="autoZero"/>
        <c:crossBetween val="midCat"/>
        <c:majorUnit val="50"/>
        <c:minorUnit val="10"/>
      </c:valAx>
      <c:spPr>
        <a:noFill/>
        <a:ln>
          <a:solidFill>
            <a:sysClr val="windowText" lastClr="000000"/>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[20230124 - DATABASE.xlsx]EngUnd_Interp_Country!PivotTable3</c:name>
    <c:fmtId val="-1"/>
  </c:pivotSource>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AU" sz="1200" b="1">
                <a:solidFill>
                  <a:sysClr val="windowText" lastClr="000000"/>
                </a:solidFill>
              </a:rPr>
              <a:t>Distribution of refugees according</a:t>
            </a:r>
            <a:r>
              <a:rPr lang="en-AU" sz="1200" b="1" baseline="0">
                <a:solidFill>
                  <a:sysClr val="windowText" lastClr="000000"/>
                </a:solidFill>
              </a:rPr>
              <a:t> to English understanding and interpreter needs (n: 1211)</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ivotFmts>
      <c:pivotFmt>
        <c:idx val="0"/>
        <c:spPr>
          <a:solidFill>
            <a:schemeClr val="accent4"/>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7030A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4"/>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7030A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4"/>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rgbClr val="7030A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EngUnd_Interp_Country!$B$4:$B$5</c:f>
              <c:strCache>
                <c:ptCount val="1"/>
                <c:pt idx="0">
                  <c:v>No</c:v>
                </c:pt>
              </c:strCache>
            </c:strRef>
          </c:tx>
          <c:spPr>
            <a:solidFill>
              <a:schemeClr val="accent4"/>
            </a:solidFill>
            <a:ln>
              <a:noFill/>
            </a:ln>
            <a:effectLst/>
          </c:spPr>
          <c:invertIfNegative val="0"/>
          <c:cat>
            <c:strRef>
              <c:f>EngUnd_Interp_Country!$A$6:$A$10</c:f>
              <c:strCache>
                <c:ptCount val="4"/>
                <c:pt idx="0">
                  <c:v>No understanding</c:v>
                </c:pt>
                <c:pt idx="1">
                  <c:v>Slight understanding</c:v>
                </c:pt>
                <c:pt idx="2">
                  <c:v>Day to day conversation</c:v>
                </c:pt>
                <c:pt idx="3">
                  <c:v>No problem at all</c:v>
                </c:pt>
              </c:strCache>
            </c:strRef>
          </c:cat>
          <c:val>
            <c:numRef>
              <c:f>EngUnd_Interp_Country!$B$6:$B$10</c:f>
              <c:numCache>
                <c:formatCode>General</c:formatCode>
                <c:ptCount val="4"/>
                <c:pt idx="0">
                  <c:v>12</c:v>
                </c:pt>
                <c:pt idx="1">
                  <c:v>1</c:v>
                </c:pt>
                <c:pt idx="2">
                  <c:v>69</c:v>
                </c:pt>
                <c:pt idx="3">
                  <c:v>91</c:v>
                </c:pt>
              </c:numCache>
            </c:numRef>
          </c:val>
          <c:extLst>
            <c:ext xmlns:c16="http://schemas.microsoft.com/office/drawing/2014/chart" uri="{C3380CC4-5D6E-409C-BE32-E72D297353CC}">
              <c16:uniqueId val="{00000000-6924-45FF-B428-6CD06D7F2A2F}"/>
            </c:ext>
          </c:extLst>
        </c:ser>
        <c:ser>
          <c:idx val="1"/>
          <c:order val="1"/>
          <c:tx>
            <c:strRef>
              <c:f>EngUnd_Interp_Country!$C$4:$C$5</c:f>
              <c:strCache>
                <c:ptCount val="1"/>
                <c:pt idx="0">
                  <c:v>Yes</c:v>
                </c:pt>
              </c:strCache>
            </c:strRef>
          </c:tx>
          <c:spPr>
            <a:solidFill>
              <a:srgbClr val="7030A0"/>
            </a:solidFill>
            <a:ln>
              <a:noFill/>
            </a:ln>
            <a:effectLst/>
          </c:spPr>
          <c:invertIfNegative val="0"/>
          <c:cat>
            <c:strRef>
              <c:f>EngUnd_Interp_Country!$A$6:$A$10</c:f>
              <c:strCache>
                <c:ptCount val="4"/>
                <c:pt idx="0">
                  <c:v>No understanding</c:v>
                </c:pt>
                <c:pt idx="1">
                  <c:v>Slight understanding</c:v>
                </c:pt>
                <c:pt idx="2">
                  <c:v>Day to day conversation</c:v>
                </c:pt>
                <c:pt idx="3">
                  <c:v>No problem at all</c:v>
                </c:pt>
              </c:strCache>
            </c:strRef>
          </c:cat>
          <c:val>
            <c:numRef>
              <c:f>EngUnd_Interp_Country!$C$6:$C$10</c:f>
              <c:numCache>
                <c:formatCode>General</c:formatCode>
                <c:ptCount val="4"/>
                <c:pt idx="0">
                  <c:v>720</c:v>
                </c:pt>
                <c:pt idx="1">
                  <c:v>275</c:v>
                </c:pt>
                <c:pt idx="2">
                  <c:v>37</c:v>
                </c:pt>
                <c:pt idx="3">
                  <c:v>6</c:v>
                </c:pt>
              </c:numCache>
            </c:numRef>
          </c:val>
          <c:extLst>
            <c:ext xmlns:c16="http://schemas.microsoft.com/office/drawing/2014/chart" uri="{C3380CC4-5D6E-409C-BE32-E72D297353CC}">
              <c16:uniqueId val="{00000001-6924-45FF-B428-6CD06D7F2A2F}"/>
            </c:ext>
          </c:extLst>
        </c:ser>
        <c:dLbls>
          <c:showLegendKey val="0"/>
          <c:showVal val="0"/>
          <c:showCatName val="0"/>
          <c:showSerName val="0"/>
          <c:showPercent val="0"/>
          <c:showBubbleSize val="0"/>
        </c:dLbls>
        <c:gapWidth val="50"/>
        <c:overlap val="100"/>
        <c:axId val="782188031"/>
        <c:axId val="782188447"/>
      </c:barChart>
      <c:catAx>
        <c:axId val="782188031"/>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82188447"/>
        <c:crosses val="autoZero"/>
        <c:auto val="1"/>
        <c:lblAlgn val="ctr"/>
        <c:lblOffset val="100"/>
        <c:noMultiLvlLbl val="0"/>
      </c:catAx>
      <c:valAx>
        <c:axId val="78218844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82188031"/>
        <c:crosses val="autoZero"/>
        <c:crossBetween val="between"/>
      </c:valAx>
      <c:spPr>
        <a:noFill/>
        <a:ln>
          <a:solidFill>
            <a:schemeClr val="tx1"/>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MacDonald</dc:creator>
  <cp:keywords/>
  <dc:description/>
  <cp:lastModifiedBy>Connie Gan</cp:lastModifiedBy>
  <cp:revision>10</cp:revision>
  <dcterms:created xsi:type="dcterms:W3CDTF">2023-04-20T02:50:00Z</dcterms:created>
  <dcterms:modified xsi:type="dcterms:W3CDTF">2023-08-25T00:54:00Z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2022-11-12T22:36:19Z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748c079d-1d94-4d26-b97a-1d16319666d5</vt:lpwstr>
  </property>
  <property fmtid="{D5CDD505-2E9C-101B-9397-08002B2CF9AE}" pid="8" name="MSIP_Label_adaa4be3-f650-4692-881a-64ae220cbceb_ContentBits">
    <vt:lpwstr>0</vt:lpwstr>
  </property>
</Properties>
</file>